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714C" w14:textId="77777777" w:rsidR="00953E38" w:rsidRPr="00E6188F" w:rsidRDefault="00953E38" w:rsidP="006C0752">
      <w:pPr>
        <w:pStyle w:val="ProposalHeader"/>
        <w:numPr>
          <w:ilvl w:val="0"/>
          <w:numId w:val="0"/>
        </w:numPr>
        <w:ind w:left="360" w:hanging="360"/>
      </w:pPr>
      <w:r w:rsidRPr="00E6188F">
        <w:tab/>
      </w:r>
      <w:r w:rsidRPr="00E6188F">
        <w:rPr>
          <w:noProof/>
        </w:rPr>
        <w:drawing>
          <wp:inline distT="0" distB="0" distL="0" distR="0" wp14:anchorId="239AB9A1" wp14:editId="01D01914">
            <wp:extent cx="2482850" cy="572770"/>
            <wp:effectExtent l="0" t="0" r="0" b="0"/>
            <wp:docPr id="1" name="Picture 1" descr="CDC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C Foundation Logo"/>
                    <pic:cNvPicPr/>
                  </pic:nvPicPr>
                  <pic:blipFill>
                    <a:blip r:embed="rId10">
                      <a:extLst>
                        <a:ext uri="{28A0092B-C50C-407E-A947-70E740481C1C}">
                          <a14:useLocalDpi xmlns:a14="http://schemas.microsoft.com/office/drawing/2010/main" val="0"/>
                        </a:ext>
                      </a:extLst>
                    </a:blip>
                    <a:stretch>
                      <a:fillRect/>
                    </a:stretch>
                  </pic:blipFill>
                  <pic:spPr>
                    <a:xfrm>
                      <a:off x="0" y="0"/>
                      <a:ext cx="2482850" cy="572770"/>
                    </a:xfrm>
                    <a:prstGeom prst="rect">
                      <a:avLst/>
                    </a:prstGeom>
                  </pic:spPr>
                </pic:pic>
              </a:graphicData>
            </a:graphic>
          </wp:inline>
        </w:drawing>
      </w:r>
    </w:p>
    <w:p w14:paraId="61081F70" w14:textId="77777777" w:rsidR="00953E38" w:rsidRPr="00E6188F" w:rsidRDefault="00953E38" w:rsidP="00953E38">
      <w:pPr>
        <w:ind w:right="288"/>
        <w:rPr>
          <w:rFonts w:cstheme="minorHAnsi"/>
          <w:sz w:val="24"/>
          <w:szCs w:val="24"/>
        </w:rPr>
      </w:pPr>
      <w:r w:rsidRPr="00E6188F">
        <w:rPr>
          <w:rFonts w:cstheme="minorHAnsi"/>
          <w:noProof/>
          <w:color w:val="2B579A"/>
          <w:sz w:val="96"/>
          <w:szCs w:val="24"/>
          <w:shd w:val="clear" w:color="auto" w:fill="E6E6E6"/>
        </w:rPr>
        <mc:AlternateContent>
          <mc:Choice Requires="wps">
            <w:drawing>
              <wp:anchor distT="0" distB="0" distL="114300" distR="114300" simplePos="0" relativeHeight="251658240" behindDoc="0" locked="0" layoutInCell="1" allowOverlap="1" wp14:anchorId="275EC199" wp14:editId="7935E04D">
                <wp:simplePos x="0" y="0"/>
                <wp:positionH relativeFrom="margin">
                  <wp:align>left</wp:align>
                </wp:positionH>
                <wp:positionV relativeFrom="paragraph">
                  <wp:posOffset>115614</wp:posOffset>
                </wp:positionV>
                <wp:extent cx="61341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9525" cap="rnd" cmpd="sng" algn="ctr">
                          <a:solidFill>
                            <a:schemeClr val="tx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4234EC" id="Straight Connector 9" o:spid="_x0000_s1026" alt="&quot;&quot;"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1pt" to="4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" strokecolor="#44546a [3215]">
                <v:stroke joinstyle="miter" endcap="round"/>
                <w10:wrap anchorx="margin"/>
              </v:line>
            </w:pict>
          </mc:Fallback>
        </mc:AlternateContent>
      </w:r>
    </w:p>
    <w:p w14:paraId="374A65CF" w14:textId="483A4ACC" w:rsidR="00346034" w:rsidRPr="00287010" w:rsidRDefault="00346034" w:rsidP="00346034">
      <w:pPr>
        <w:spacing w:before="95"/>
        <w:rPr>
          <w:rFonts w:ascii="Tahoma" w:hAnsi="Tahoma" w:cs="Tahoma"/>
          <w:b/>
          <w:sz w:val="48"/>
        </w:rPr>
      </w:pPr>
      <w:r w:rsidRPr="00287010">
        <w:rPr>
          <w:rFonts w:ascii="Tahoma" w:hAnsi="Tahoma" w:cs="Tahoma"/>
          <w:b/>
          <w:color w:val="37225F"/>
          <w:sz w:val="48"/>
        </w:rPr>
        <w:t>Request for</w:t>
      </w:r>
      <w:r w:rsidRPr="00287010">
        <w:rPr>
          <w:rFonts w:ascii="Tahoma" w:hAnsi="Tahoma" w:cs="Tahoma"/>
          <w:b/>
          <w:color w:val="37225F"/>
          <w:spacing w:val="-51"/>
          <w:sz w:val="48"/>
        </w:rPr>
        <w:t xml:space="preserve"> </w:t>
      </w:r>
      <w:r w:rsidRPr="00287010">
        <w:rPr>
          <w:rFonts w:ascii="Tahoma" w:hAnsi="Tahoma" w:cs="Tahoma"/>
          <w:b/>
          <w:color w:val="37225F"/>
          <w:sz w:val="48"/>
        </w:rPr>
        <w:t>Proposals</w:t>
      </w:r>
      <w:r>
        <w:rPr>
          <w:rFonts w:ascii="Tahoma" w:hAnsi="Tahoma" w:cs="Tahoma"/>
          <w:b/>
          <w:color w:val="37225F"/>
          <w:sz w:val="48"/>
        </w:rPr>
        <w:t xml:space="preserve"> Supplement #1</w:t>
      </w:r>
    </w:p>
    <w:p w14:paraId="3C3087DF" w14:textId="77777777" w:rsidR="00346034" w:rsidRPr="00287010" w:rsidRDefault="00346034" w:rsidP="00346034">
      <w:pPr>
        <w:spacing w:before="182"/>
        <w:rPr>
          <w:rFonts w:ascii="Tahoma" w:hAnsi="Tahoma" w:cs="Tahoma"/>
          <w:b/>
          <w:sz w:val="30"/>
        </w:rPr>
      </w:pPr>
      <w:r w:rsidRPr="00287010">
        <w:rPr>
          <w:rFonts w:ascii="Tahoma" w:hAnsi="Tahoma" w:cs="Tahoma"/>
          <w:b/>
          <w:sz w:val="30"/>
        </w:rPr>
        <w:t>Building the Business Case for Hypertension Control – Research, Evaluation, or Analytics Firm</w:t>
      </w:r>
    </w:p>
    <w:p w14:paraId="2CD94F67" w14:textId="77777777" w:rsidR="00346034" w:rsidRPr="00287010" w:rsidRDefault="00346034" w:rsidP="00346034">
      <w:pPr>
        <w:pStyle w:val="BodyText"/>
        <w:ind w:left="0"/>
      </w:pPr>
    </w:p>
    <w:p w14:paraId="27C7F0A5" w14:textId="79E373C0" w:rsidR="00346034" w:rsidRPr="00287010" w:rsidRDefault="00346034" w:rsidP="00346034">
      <w:pPr>
        <w:pStyle w:val="BodyText"/>
        <w:ind w:left="0"/>
      </w:pPr>
      <w:r w:rsidRPr="00287010">
        <w:t>Date Issued: December 1, 2022</w:t>
      </w:r>
      <w:r>
        <w:t xml:space="preserve"> </w:t>
      </w:r>
      <w:r w:rsidRPr="00C616C5">
        <w:rPr>
          <w:b/>
          <w:bCs/>
        </w:rPr>
        <w:t>(REVISED DECEMBER 13, 2022)</w:t>
      </w:r>
    </w:p>
    <w:p w14:paraId="3C67B5B2" w14:textId="77777777" w:rsidR="00346034" w:rsidRPr="00287010" w:rsidRDefault="00346034" w:rsidP="00346034">
      <w:pPr>
        <w:pStyle w:val="BodyText"/>
        <w:ind w:left="0"/>
      </w:pPr>
      <w:r w:rsidRPr="00287010">
        <w:t>Due Date: December 22, 2022, by 11:59 pm Eastern Time</w:t>
      </w:r>
    </w:p>
    <w:p w14:paraId="0BDB6B7C" w14:textId="77777777" w:rsidR="00953E38" w:rsidRPr="00E6188F" w:rsidRDefault="00953E38" w:rsidP="00953E38">
      <w:pPr>
        <w:ind w:left="101" w:right="288" w:firstLine="720"/>
        <w:rPr>
          <w:rFonts w:cstheme="minorHAnsi"/>
          <w:sz w:val="24"/>
          <w:szCs w:val="24"/>
        </w:rPr>
      </w:pPr>
    </w:p>
    <w:p w14:paraId="40AD1F3B" w14:textId="24008587" w:rsidR="006F01D8" w:rsidRDefault="0064211C">
      <w:r w:rsidRPr="00287010">
        <w:rPr>
          <w:noProof/>
        </w:rPr>
        <mc:AlternateContent>
          <mc:Choice Requires="wps">
            <w:drawing>
              <wp:anchor distT="0" distB="0" distL="0" distR="0" simplePos="0" relativeHeight="251660288" behindDoc="1" locked="0" layoutInCell="1" allowOverlap="1" wp14:anchorId="430F46B6" wp14:editId="3C189693">
                <wp:simplePos x="0" y="0"/>
                <wp:positionH relativeFrom="page">
                  <wp:posOffset>914400</wp:posOffset>
                </wp:positionH>
                <wp:positionV relativeFrom="paragraph">
                  <wp:posOffset>285115</wp:posOffset>
                </wp:positionV>
                <wp:extent cx="61341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9525">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28C90" id="Freeform 11" o:spid="_x0000_s1026" style="position:absolute;margin-left:1in;margin-top:22.45pt;width:48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" path="m,l9660,e" filled="f" strokecolor="#1f477b">
                <v:path arrowok="t" o:connecttype="custom" o:connectlocs="0,0;6134100,0" o:connectangles="0,0"/>
                <w10:wrap type="topAndBottom" anchorx="page"/>
              </v:shape>
            </w:pict>
          </mc:Fallback>
        </mc:AlternateContent>
      </w:r>
    </w:p>
    <w:p w14:paraId="61935E36" w14:textId="77777777" w:rsidR="00953E38" w:rsidRDefault="00953E38">
      <w:r>
        <w:br w:type="page"/>
      </w:r>
    </w:p>
    <w:p w14:paraId="6D921834" w14:textId="30841AF9" w:rsidR="00953E38" w:rsidRPr="002D3444" w:rsidRDefault="00953E38" w:rsidP="00953E38">
      <w:pPr>
        <w:spacing w:line="240" w:lineRule="auto"/>
        <w:rPr>
          <w:rFonts w:ascii="Tahoma" w:eastAsia="Gill Sans MT" w:hAnsi="Tahoma" w:cs="Tahoma"/>
          <w:b/>
          <w:bCs/>
          <w:iCs/>
        </w:rPr>
      </w:pPr>
      <w:r w:rsidRPr="002D3444">
        <w:rPr>
          <w:rFonts w:ascii="Tahoma" w:eastAsia="Gill Sans MT" w:hAnsi="Tahoma" w:cs="Tahoma"/>
        </w:rPr>
        <w:lastRenderedPageBreak/>
        <w:t xml:space="preserve">This Supplement </w:t>
      </w:r>
      <w:r w:rsidR="00290CD3" w:rsidRPr="002D3444">
        <w:rPr>
          <w:rFonts w:ascii="Tahoma" w:eastAsia="Gill Sans MT" w:hAnsi="Tahoma" w:cs="Tahoma"/>
        </w:rPr>
        <w:t>revises</w:t>
      </w:r>
      <w:r w:rsidRPr="002D3444">
        <w:rPr>
          <w:rFonts w:ascii="Tahoma" w:eastAsia="Gill Sans MT" w:hAnsi="Tahoma" w:cs="Tahoma"/>
        </w:rPr>
        <w:t xml:space="preserve"> the Request for Proposals (RFP) for </w:t>
      </w:r>
      <w:r w:rsidR="0014435E" w:rsidRPr="002D3444">
        <w:rPr>
          <w:rFonts w:ascii="Tahoma" w:eastAsia="Gill Sans MT" w:hAnsi="Tahoma" w:cs="Tahoma"/>
          <w:b/>
          <w:bCs/>
          <w:iCs/>
        </w:rPr>
        <w:t xml:space="preserve">Building the Business Case for Hypertension Control </w:t>
      </w:r>
      <w:r w:rsidRPr="002D3444">
        <w:rPr>
          <w:rFonts w:ascii="Tahoma" w:eastAsia="Gill Sans MT" w:hAnsi="Tahoma" w:cs="Tahoma"/>
        </w:rPr>
        <w:t xml:space="preserve">issued on </w:t>
      </w:r>
      <w:r w:rsidR="0014435E" w:rsidRPr="002D3444">
        <w:rPr>
          <w:rFonts w:ascii="Tahoma" w:eastAsia="Gill Sans MT" w:hAnsi="Tahoma" w:cs="Tahoma"/>
        </w:rPr>
        <w:t>December 1,</w:t>
      </w:r>
      <w:r w:rsidRPr="002D3444">
        <w:rPr>
          <w:rFonts w:ascii="Tahoma" w:eastAsia="Gill Sans MT" w:hAnsi="Tahoma" w:cs="Tahoma"/>
        </w:rPr>
        <w:t xml:space="preserve"> 202</w:t>
      </w:r>
      <w:r w:rsidR="0014435E" w:rsidRPr="002D3444">
        <w:rPr>
          <w:rFonts w:ascii="Tahoma" w:eastAsia="Gill Sans MT" w:hAnsi="Tahoma" w:cs="Tahoma"/>
        </w:rPr>
        <w:t>2</w:t>
      </w:r>
      <w:r w:rsidRPr="002D3444">
        <w:rPr>
          <w:rFonts w:ascii="Tahoma" w:eastAsia="Gill Sans MT" w:hAnsi="Tahoma" w:cs="Tahoma"/>
        </w:rPr>
        <w:t xml:space="preserve">, and addresses questions submitted during the inquiry period from </w:t>
      </w:r>
      <w:r w:rsidR="0014435E" w:rsidRPr="002D3444">
        <w:rPr>
          <w:rFonts w:ascii="Tahoma" w:eastAsia="Gill Sans MT" w:hAnsi="Tahoma" w:cs="Tahoma"/>
        </w:rPr>
        <w:t>December 1st to December 8th.</w:t>
      </w:r>
    </w:p>
    <w:p w14:paraId="18B773E3" w14:textId="77777777" w:rsidR="00953E38" w:rsidRPr="002D3444" w:rsidRDefault="00953E38" w:rsidP="00953E38">
      <w:pPr>
        <w:spacing w:line="240" w:lineRule="auto"/>
        <w:rPr>
          <w:rFonts w:ascii="Tahoma" w:eastAsia="Gill Sans MT" w:hAnsi="Tahoma" w:cs="Tahoma"/>
        </w:rPr>
      </w:pPr>
      <w:r w:rsidRPr="002D3444">
        <w:rPr>
          <w:rFonts w:ascii="Tahoma" w:eastAsia="Gill Sans MT" w:hAnsi="Tahoma" w:cs="Tahoma"/>
        </w:rPr>
        <w:t xml:space="preserve">Failure to comply with any amended requirements and instructions included in this Supplement may result in a proposal being deemed non-responsive and ineligible for consideration for funding. </w:t>
      </w:r>
    </w:p>
    <w:p w14:paraId="50E57BA5" w14:textId="31C1220F" w:rsidR="00953E38" w:rsidRPr="002D3444" w:rsidRDefault="00953E38" w:rsidP="00953E38">
      <w:pPr>
        <w:spacing w:line="240" w:lineRule="auto"/>
        <w:rPr>
          <w:rFonts w:ascii="Tahoma" w:eastAsia="Gill Sans MT" w:hAnsi="Tahoma" w:cs="Tahoma"/>
        </w:rPr>
      </w:pPr>
      <w:r w:rsidRPr="002D3444">
        <w:rPr>
          <w:rFonts w:ascii="Tahoma" w:eastAsia="Gill Sans MT" w:hAnsi="Tahoma" w:cs="Tahoma"/>
          <w:i/>
          <w:iCs/>
        </w:rPr>
        <w:t xml:space="preserve">Please note that only communication received in writing from the RFP Contact on behalf of the CDC Foundation shall serve to supplement, amend, or alter in any </w:t>
      </w:r>
      <w:proofErr w:type="gramStart"/>
      <w:r w:rsidRPr="002D3444">
        <w:rPr>
          <w:rFonts w:ascii="Tahoma" w:eastAsia="Gill Sans MT" w:hAnsi="Tahoma" w:cs="Tahoma"/>
          <w:i/>
          <w:iCs/>
        </w:rPr>
        <w:t>way,</w:t>
      </w:r>
      <w:proofErr w:type="gramEnd"/>
      <w:r w:rsidRPr="002D3444">
        <w:rPr>
          <w:rFonts w:ascii="Tahoma" w:eastAsia="Gill Sans MT" w:hAnsi="Tahoma" w:cs="Tahoma"/>
          <w:i/>
          <w:iCs/>
        </w:rPr>
        <w:t xml:space="preserve"> this RFP released by the CDC Foundation. Any other communication is not binding and should not be relied upon by any party in interpreting or responding to this RFP. </w:t>
      </w:r>
    </w:p>
    <w:p w14:paraId="0EC53AEB" w14:textId="77777777" w:rsidR="00953E38" w:rsidRPr="002D3444" w:rsidRDefault="00953E38" w:rsidP="00953E38">
      <w:pPr>
        <w:spacing w:line="240" w:lineRule="auto"/>
        <w:rPr>
          <w:rFonts w:ascii="Tahoma" w:eastAsia="Gill Sans MT" w:hAnsi="Tahoma" w:cs="Tahoma"/>
        </w:rPr>
      </w:pPr>
      <w:r w:rsidRPr="002D3444">
        <w:rPr>
          <w:rFonts w:ascii="Tahoma" w:eastAsia="Gill Sans MT" w:hAnsi="Tahoma" w:cs="Tahoma"/>
        </w:rPr>
        <w:t xml:space="preserve">For a copy of this Supplement or the Request for Proposals, please go to: </w:t>
      </w:r>
      <w:hyperlink r:id="rId11" w:history="1">
        <w:r w:rsidRPr="002D3444">
          <w:rPr>
            <w:rStyle w:val="Hyperlink"/>
            <w:rFonts w:ascii="Tahoma" w:eastAsia="Gill Sans MT" w:hAnsi="Tahoma" w:cs="Tahoma"/>
          </w:rPr>
          <w:t>https://www.cdcfoundation.org/request-for-proposals</w:t>
        </w:r>
      </w:hyperlink>
      <w:r w:rsidRPr="002D3444">
        <w:rPr>
          <w:rFonts w:ascii="Tahoma" w:eastAsia="Gill Sans MT" w:hAnsi="Tahoma" w:cs="Tahoma"/>
        </w:rPr>
        <w:t xml:space="preserve"> </w:t>
      </w:r>
    </w:p>
    <w:p w14:paraId="3F71F1E8" w14:textId="77777777" w:rsidR="00953E38" w:rsidRPr="002D3444" w:rsidRDefault="00953E38" w:rsidP="00953E38">
      <w:pPr>
        <w:spacing w:after="0" w:line="240" w:lineRule="auto"/>
        <w:rPr>
          <w:rFonts w:ascii="Tahoma" w:hAnsi="Tahoma" w:cs="Tahoma"/>
          <w:b/>
          <w:color w:val="379ADB"/>
        </w:rPr>
      </w:pPr>
    </w:p>
    <w:p w14:paraId="76DC62C6" w14:textId="77777777" w:rsidR="00021A4D" w:rsidRPr="002D3444" w:rsidRDefault="00021A4D" w:rsidP="00021A4D">
      <w:pPr>
        <w:rPr>
          <w:rFonts w:ascii="Tahoma" w:hAnsi="Tahoma" w:cs="Tahoma"/>
          <w:b/>
          <w:bCs/>
          <w:color w:val="000000" w:themeColor="text1"/>
        </w:rPr>
      </w:pPr>
      <w:r w:rsidRPr="002D3444">
        <w:rPr>
          <w:rFonts w:ascii="Tahoma" w:hAnsi="Tahoma" w:cs="Tahoma"/>
          <w:b/>
          <w:bCs/>
          <w:color w:val="000000" w:themeColor="text1"/>
        </w:rPr>
        <w:t>Revisions to the RFP</w:t>
      </w:r>
    </w:p>
    <w:p w14:paraId="7FC63126" w14:textId="31039ED0" w:rsidR="00021A4D" w:rsidRPr="002D3444" w:rsidRDefault="00021A4D" w:rsidP="00021A4D">
      <w:pPr>
        <w:rPr>
          <w:rFonts w:ascii="Tahoma" w:hAnsi="Tahoma" w:cs="Tahoma"/>
          <w:color w:val="000000" w:themeColor="text1"/>
        </w:rPr>
      </w:pPr>
      <w:r w:rsidRPr="002D3444">
        <w:rPr>
          <w:rFonts w:ascii="Tahoma" w:hAnsi="Tahoma" w:cs="Tahoma"/>
          <w:color w:val="000000" w:themeColor="text1"/>
        </w:rPr>
        <w:t>The changes listed below are made to the RFP (</w:t>
      </w:r>
      <w:r w:rsidRPr="002D3444">
        <w:rPr>
          <w:rFonts w:ascii="Tahoma" w:hAnsi="Tahoma" w:cs="Tahoma"/>
          <w:b/>
          <w:bCs/>
          <w:color w:val="000000" w:themeColor="text1"/>
        </w:rPr>
        <w:t xml:space="preserve">REVISED </w:t>
      </w:r>
      <w:r w:rsidR="00413A4B" w:rsidRPr="002D3444">
        <w:rPr>
          <w:rFonts w:ascii="Tahoma" w:hAnsi="Tahoma" w:cs="Tahoma"/>
          <w:b/>
          <w:bCs/>
          <w:color w:val="000000" w:themeColor="text1"/>
        </w:rPr>
        <w:t>December 13, 2022</w:t>
      </w:r>
      <w:r w:rsidRPr="002D3444">
        <w:rPr>
          <w:rFonts w:ascii="Tahoma" w:hAnsi="Tahoma" w:cs="Tahoma"/>
          <w:color w:val="000000" w:themeColor="text1"/>
        </w:rPr>
        <w:t>):</w:t>
      </w:r>
    </w:p>
    <w:p w14:paraId="636FC73A" w14:textId="4CA351A1" w:rsidR="00FC2377" w:rsidRPr="002D3444" w:rsidRDefault="009D240F" w:rsidP="00021A4D">
      <w:pPr>
        <w:rPr>
          <w:rFonts w:ascii="Tahoma" w:hAnsi="Tahoma" w:cs="Tahoma"/>
          <w:color w:val="000000" w:themeColor="text1"/>
          <w:u w:val="single"/>
        </w:rPr>
      </w:pPr>
      <w:r w:rsidRPr="002D3444">
        <w:rPr>
          <w:rFonts w:ascii="Tahoma" w:hAnsi="Tahoma" w:cs="Tahoma"/>
          <w:color w:val="000000" w:themeColor="text1"/>
          <w:u w:val="single"/>
        </w:rPr>
        <w:t>6c. Budget Guidelines</w:t>
      </w:r>
      <w:r w:rsidR="009E38A7">
        <w:rPr>
          <w:rFonts w:ascii="Tahoma" w:hAnsi="Tahoma" w:cs="Tahoma"/>
          <w:color w:val="000000" w:themeColor="text1"/>
          <w:u w:val="single"/>
        </w:rPr>
        <w:t xml:space="preserve"> (page 10)</w:t>
      </w:r>
    </w:p>
    <w:p w14:paraId="71587C4F" w14:textId="763C7386" w:rsidR="00021A4D" w:rsidRPr="002D3444" w:rsidRDefault="002223A9" w:rsidP="00021A4D">
      <w:pPr>
        <w:pStyle w:val="ListParagraph"/>
        <w:numPr>
          <w:ilvl w:val="0"/>
          <w:numId w:val="2"/>
        </w:numPr>
        <w:spacing w:after="0" w:line="240" w:lineRule="auto"/>
        <w:contextualSpacing w:val="0"/>
        <w:rPr>
          <w:rFonts w:ascii="Tahoma" w:eastAsia="Times New Roman" w:hAnsi="Tahoma" w:cs="Tahoma"/>
          <w:color w:val="000000" w:themeColor="text1"/>
        </w:rPr>
      </w:pPr>
      <w:r w:rsidRPr="002D3444">
        <w:rPr>
          <w:rFonts w:ascii="Tahoma" w:eastAsia="Times New Roman" w:hAnsi="Tahoma" w:cs="Tahoma"/>
          <w:color w:val="000000" w:themeColor="text1"/>
        </w:rPr>
        <w:t>We revised the following sentence to correct an error</w:t>
      </w:r>
      <w:r w:rsidR="00420E02" w:rsidRPr="002D3444">
        <w:rPr>
          <w:rFonts w:ascii="Tahoma" w:eastAsia="Times New Roman" w:hAnsi="Tahoma" w:cs="Tahoma"/>
          <w:color w:val="000000" w:themeColor="text1"/>
        </w:rPr>
        <w:t xml:space="preserve"> describing the project period</w:t>
      </w:r>
      <w:r w:rsidRPr="002D3444">
        <w:rPr>
          <w:rFonts w:ascii="Tahoma" w:eastAsia="Times New Roman" w:hAnsi="Tahoma" w:cs="Tahoma"/>
          <w:color w:val="000000" w:themeColor="text1"/>
        </w:rPr>
        <w:t xml:space="preserve">: </w:t>
      </w:r>
      <w:r w:rsidR="00605D17" w:rsidRPr="002D3444">
        <w:rPr>
          <w:rFonts w:ascii="Tahoma" w:eastAsia="Times New Roman" w:hAnsi="Tahoma" w:cs="Tahoma"/>
          <w:color w:val="000000" w:themeColor="text1"/>
        </w:rPr>
        <w:t>“</w:t>
      </w:r>
      <w:r w:rsidR="001D794E" w:rsidRPr="002D3444">
        <w:rPr>
          <w:rFonts w:ascii="Tahoma" w:eastAsia="Times New Roman" w:hAnsi="Tahoma" w:cs="Tahoma"/>
          <w:color w:val="000000" w:themeColor="text1"/>
        </w:rPr>
        <w:t xml:space="preserve">Ensure that the budget duration is adjusted to </w:t>
      </w:r>
      <w:r w:rsidR="001D794E" w:rsidRPr="002B0D6A">
        <w:rPr>
          <w:rFonts w:ascii="Tahoma" w:eastAsia="Times New Roman" w:hAnsi="Tahoma" w:cs="Tahoma"/>
          <w:color w:val="000000" w:themeColor="text1"/>
          <w:u w:val="single"/>
        </w:rPr>
        <w:t>5 months</w:t>
      </w:r>
      <w:r w:rsidR="001D794E" w:rsidRPr="002D3444">
        <w:rPr>
          <w:rFonts w:ascii="Tahoma" w:eastAsia="Times New Roman" w:hAnsi="Tahoma" w:cs="Tahoma"/>
          <w:color w:val="000000" w:themeColor="text1"/>
        </w:rPr>
        <w:t xml:space="preserve"> (January 30, 2023 – Ju</w:t>
      </w:r>
      <w:r w:rsidR="00420E02" w:rsidRPr="002D3444">
        <w:rPr>
          <w:rFonts w:ascii="Tahoma" w:eastAsia="Times New Roman" w:hAnsi="Tahoma" w:cs="Tahoma"/>
          <w:color w:val="000000" w:themeColor="text1"/>
        </w:rPr>
        <w:t xml:space="preserve">ne </w:t>
      </w:r>
      <w:r w:rsidR="001D794E" w:rsidRPr="002D3444">
        <w:rPr>
          <w:rFonts w:ascii="Tahoma" w:eastAsia="Times New Roman" w:hAnsi="Tahoma" w:cs="Tahoma"/>
          <w:color w:val="000000" w:themeColor="text1"/>
        </w:rPr>
        <w:t>30, 2023) for salary and fringe calculations</w:t>
      </w:r>
      <w:r w:rsidRPr="002D3444">
        <w:rPr>
          <w:rFonts w:ascii="Tahoma" w:eastAsia="Times New Roman" w:hAnsi="Tahoma" w:cs="Tahoma"/>
          <w:color w:val="000000" w:themeColor="text1"/>
        </w:rPr>
        <w:t>.</w:t>
      </w:r>
      <w:r w:rsidR="009E38A7">
        <w:rPr>
          <w:rFonts w:ascii="Tahoma" w:eastAsia="Times New Roman" w:hAnsi="Tahoma" w:cs="Tahoma"/>
          <w:color w:val="000000" w:themeColor="text1"/>
        </w:rPr>
        <w:t xml:space="preserve"> </w:t>
      </w:r>
      <w:r w:rsidR="00AE0BBF">
        <w:rPr>
          <w:rFonts w:ascii="Tahoma" w:eastAsia="Times New Roman" w:hAnsi="Tahoma" w:cs="Tahoma"/>
          <w:color w:val="000000" w:themeColor="text1"/>
        </w:rPr>
        <w:t>(page 10)</w:t>
      </w:r>
    </w:p>
    <w:p w14:paraId="48D0BE75" w14:textId="77777777" w:rsidR="00605D17" w:rsidRPr="002D3444" w:rsidRDefault="00605D17" w:rsidP="002223A9">
      <w:pPr>
        <w:pStyle w:val="ListParagraph"/>
        <w:spacing w:after="0" w:line="240" w:lineRule="auto"/>
        <w:ind w:left="1080"/>
        <w:contextualSpacing w:val="0"/>
        <w:rPr>
          <w:rFonts w:ascii="Tahoma" w:eastAsia="Times New Roman" w:hAnsi="Tahoma" w:cs="Tahoma"/>
          <w:color w:val="000000" w:themeColor="text1"/>
        </w:rPr>
      </w:pPr>
    </w:p>
    <w:p w14:paraId="2AD17F40" w14:textId="3FA33194" w:rsidR="00D028EA" w:rsidRPr="002D3444" w:rsidRDefault="00081AD4" w:rsidP="00D028EA">
      <w:pPr>
        <w:spacing w:after="0" w:line="240" w:lineRule="auto"/>
        <w:rPr>
          <w:rFonts w:ascii="Tahoma" w:eastAsia="Times New Roman" w:hAnsi="Tahoma" w:cs="Tahoma"/>
          <w:b/>
          <w:bCs/>
          <w:color w:val="000000" w:themeColor="text1"/>
        </w:rPr>
      </w:pPr>
      <w:r w:rsidRPr="002D3444">
        <w:rPr>
          <w:rFonts w:ascii="Tahoma" w:eastAsia="Times New Roman" w:hAnsi="Tahoma" w:cs="Tahoma"/>
          <w:b/>
          <w:bCs/>
          <w:color w:val="000000" w:themeColor="text1"/>
        </w:rPr>
        <w:t xml:space="preserve">Questions </w:t>
      </w:r>
      <w:r w:rsidR="00CB3A86" w:rsidRPr="002D3444">
        <w:rPr>
          <w:rFonts w:ascii="Tahoma" w:eastAsia="Times New Roman" w:hAnsi="Tahoma" w:cs="Tahoma"/>
          <w:b/>
          <w:bCs/>
          <w:color w:val="000000" w:themeColor="text1"/>
        </w:rPr>
        <w:t>and Answers</w:t>
      </w:r>
    </w:p>
    <w:p w14:paraId="72B1CAA3" w14:textId="0A1F9CC9" w:rsidR="00F53A82" w:rsidRPr="002D3444" w:rsidRDefault="00F53A82" w:rsidP="00D028EA">
      <w:pPr>
        <w:spacing w:after="0" w:line="240" w:lineRule="auto"/>
        <w:rPr>
          <w:rFonts w:ascii="Tahoma" w:eastAsia="Times New Roman" w:hAnsi="Tahoma" w:cs="Tahoma"/>
          <w:b/>
          <w:bCs/>
          <w:color w:val="000000" w:themeColor="text1"/>
        </w:rPr>
      </w:pPr>
    </w:p>
    <w:p w14:paraId="79CE9126" w14:textId="4F5DA9B6" w:rsidR="00CE24B6" w:rsidRPr="002D3444" w:rsidRDefault="00CE24B6" w:rsidP="00D028EA">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2D3444" w:rsidRPr="002D3444">
        <w:rPr>
          <w:rFonts w:ascii="Tahoma" w:eastAsia="Times New Roman" w:hAnsi="Tahoma" w:cs="Tahoma"/>
          <w:b/>
          <w:bCs/>
        </w:rPr>
        <w:t>What types of staff from the CDC Foundation will be engaging with the contractor for this project?</w:t>
      </w:r>
    </w:p>
    <w:p w14:paraId="4A37448A" w14:textId="454D31EE" w:rsidR="00192D8A" w:rsidRPr="002D3444" w:rsidRDefault="00192D8A" w:rsidP="00D028EA">
      <w:pPr>
        <w:spacing w:after="0" w:line="240" w:lineRule="auto"/>
        <w:rPr>
          <w:rFonts w:ascii="Tahoma" w:eastAsia="Times New Roman" w:hAnsi="Tahoma" w:cs="Tahoma"/>
          <w:b/>
          <w:bCs/>
        </w:rPr>
      </w:pPr>
    </w:p>
    <w:p w14:paraId="3D816276" w14:textId="2FF61ACA" w:rsidR="00192D8A" w:rsidRPr="002D3444" w:rsidRDefault="00192D8A" w:rsidP="00EB30FA">
      <w:pPr>
        <w:spacing w:after="0" w:line="240" w:lineRule="auto"/>
        <w:ind w:left="720"/>
        <w:rPr>
          <w:rFonts w:ascii="Tahoma" w:eastAsia="Times New Roman" w:hAnsi="Tahoma" w:cs="Tahoma"/>
        </w:rPr>
      </w:pPr>
      <w:r w:rsidRPr="002D3444">
        <w:rPr>
          <w:rFonts w:ascii="Tahoma" w:eastAsia="Times New Roman" w:hAnsi="Tahoma" w:cs="Tahoma"/>
          <w:b/>
          <w:bCs/>
        </w:rPr>
        <w:t>A</w:t>
      </w:r>
      <w:r w:rsidR="0025177B" w:rsidRPr="002D3444">
        <w:rPr>
          <w:rFonts w:ascii="Tahoma" w:eastAsia="Times New Roman" w:hAnsi="Tahoma" w:cs="Tahoma"/>
          <w:b/>
          <w:bCs/>
        </w:rPr>
        <w:t xml:space="preserve">: </w:t>
      </w:r>
      <w:r w:rsidR="009E45C2" w:rsidRPr="009E45C2">
        <w:rPr>
          <w:rFonts w:ascii="Tahoma" w:eastAsia="Times New Roman" w:hAnsi="Tahoma" w:cs="Tahoma"/>
        </w:rPr>
        <w:t>The contractor will engage with CDC Foundation program staff from the Non-Infectious Disease department. There will also be some interaction with staff at CDC's Division on Heart Disease Control and Prevention.</w:t>
      </w:r>
      <w:r w:rsidR="009E45C2">
        <w:rPr>
          <w:rFonts w:ascii="Tahoma" w:eastAsia="Times New Roman" w:hAnsi="Tahoma" w:cs="Tahoma"/>
        </w:rPr>
        <w:t xml:space="preserve"> </w:t>
      </w:r>
    </w:p>
    <w:p w14:paraId="2BBCCE64" w14:textId="05469EAF" w:rsidR="001518DB" w:rsidRPr="002D3444" w:rsidRDefault="001518DB" w:rsidP="00D028EA">
      <w:pPr>
        <w:spacing w:after="0" w:line="240" w:lineRule="auto"/>
        <w:rPr>
          <w:rFonts w:ascii="Tahoma" w:eastAsia="Times New Roman" w:hAnsi="Tahoma" w:cs="Tahoma"/>
        </w:rPr>
      </w:pPr>
    </w:p>
    <w:p w14:paraId="3D537BBA" w14:textId="7A74198F" w:rsidR="009E45C2" w:rsidRPr="002D3444" w:rsidRDefault="009E45C2" w:rsidP="009E45C2">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9872D2" w:rsidRPr="009872D2">
        <w:rPr>
          <w:rFonts w:ascii="Tahoma" w:eastAsia="Times New Roman" w:hAnsi="Tahoma" w:cs="Tahoma"/>
          <w:b/>
          <w:bCs/>
        </w:rPr>
        <w:t>Are there similar initiatives for other chronic conditions with which this project will need to align?</w:t>
      </w:r>
    </w:p>
    <w:p w14:paraId="46BE517B" w14:textId="77777777" w:rsidR="009E45C2" w:rsidRPr="002D3444" w:rsidRDefault="009E45C2" w:rsidP="009E45C2">
      <w:pPr>
        <w:spacing w:after="0" w:line="240" w:lineRule="auto"/>
        <w:rPr>
          <w:rFonts w:ascii="Tahoma" w:eastAsia="Times New Roman" w:hAnsi="Tahoma" w:cs="Tahoma"/>
          <w:b/>
          <w:bCs/>
        </w:rPr>
      </w:pPr>
    </w:p>
    <w:p w14:paraId="0E48BD65" w14:textId="5F3F92E9" w:rsidR="009E45C2" w:rsidRPr="002D3444" w:rsidRDefault="009E45C2" w:rsidP="009E45C2">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1F3A1E" w:rsidRPr="001F3A1E">
        <w:rPr>
          <w:rFonts w:ascii="Tahoma" w:eastAsia="Times New Roman" w:hAnsi="Tahoma" w:cs="Tahoma"/>
        </w:rPr>
        <w:t>At this time, there are no similar initiatives with which the contractor will need to align. The contractor may address the impact of comorbid chronic conditions in their model.</w:t>
      </w:r>
    </w:p>
    <w:p w14:paraId="360CAB73" w14:textId="77777777" w:rsidR="009E45C2" w:rsidRDefault="009E45C2" w:rsidP="009E45C2">
      <w:pPr>
        <w:spacing w:after="0" w:line="240" w:lineRule="auto"/>
        <w:rPr>
          <w:rFonts w:ascii="Tahoma" w:eastAsia="Times New Roman" w:hAnsi="Tahoma" w:cs="Tahoma"/>
          <w:b/>
          <w:bCs/>
          <w:color w:val="000000" w:themeColor="text1"/>
        </w:rPr>
      </w:pPr>
    </w:p>
    <w:p w14:paraId="4671C0D8" w14:textId="1987B1BB" w:rsidR="009E45C2" w:rsidRPr="002D3444" w:rsidRDefault="009E45C2" w:rsidP="009E45C2">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170A03" w:rsidRPr="00170A03">
        <w:rPr>
          <w:rFonts w:ascii="Tahoma" w:eastAsia="Times New Roman" w:hAnsi="Tahoma" w:cs="Tahoma"/>
          <w:b/>
          <w:bCs/>
        </w:rPr>
        <w:t>Is the budget impact model meant to quantify the cost impact of hypertension and the cost impact of potential hypertension interventions, or just the cost impact of hypertension? If modeling both the cost impact of hypertension and potential interventions, are there specific interventions to be modeled?</w:t>
      </w:r>
    </w:p>
    <w:p w14:paraId="14FFF23E" w14:textId="77777777" w:rsidR="009E45C2" w:rsidRPr="002D3444" w:rsidRDefault="009E45C2" w:rsidP="009E45C2">
      <w:pPr>
        <w:spacing w:after="0" w:line="240" w:lineRule="auto"/>
        <w:rPr>
          <w:rFonts w:ascii="Tahoma" w:eastAsia="Times New Roman" w:hAnsi="Tahoma" w:cs="Tahoma"/>
          <w:b/>
          <w:bCs/>
        </w:rPr>
      </w:pPr>
    </w:p>
    <w:p w14:paraId="39FCEAD9" w14:textId="2079984C" w:rsidR="009E45C2" w:rsidRPr="002D3444" w:rsidRDefault="009E45C2" w:rsidP="009E45C2">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160145" w:rsidRPr="00160145">
        <w:rPr>
          <w:rFonts w:ascii="Tahoma" w:eastAsia="Times New Roman" w:hAnsi="Tahoma" w:cs="Tahoma"/>
        </w:rPr>
        <w:t>The budget impact model is for the cost impact of hypertension on employers and their employees. Interventions do not need to be modeled.</w:t>
      </w:r>
    </w:p>
    <w:p w14:paraId="096DA9B4" w14:textId="77777777" w:rsidR="003B0F44" w:rsidRDefault="003B0F44" w:rsidP="00D028EA">
      <w:pPr>
        <w:spacing w:after="0" w:line="240" w:lineRule="auto"/>
        <w:rPr>
          <w:rFonts w:ascii="Tahoma" w:eastAsia="Times New Roman" w:hAnsi="Tahoma" w:cs="Tahoma"/>
          <w:b/>
          <w:bCs/>
          <w:color w:val="000000" w:themeColor="text1"/>
        </w:rPr>
      </w:pPr>
    </w:p>
    <w:p w14:paraId="76C02A0B" w14:textId="2BF9D196" w:rsidR="00160145" w:rsidRPr="002D3444" w:rsidRDefault="00160145" w:rsidP="0016014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lastRenderedPageBreak/>
        <w:t xml:space="preserve">Q: </w:t>
      </w:r>
      <w:r w:rsidR="00C747C2" w:rsidRPr="00C747C2">
        <w:rPr>
          <w:rFonts w:ascii="Tahoma" w:eastAsia="Times New Roman" w:hAnsi="Tahoma" w:cs="Tahoma"/>
          <w:b/>
          <w:bCs/>
        </w:rPr>
        <w:t xml:space="preserve">Deliverables: The findings from Task 1 and Task 2 (page 5) will be summarized in two separate reports whose main audience is the CDC Foundation. Separately, the offeror will produce a third report on the business case for hypertension control whose main audience is employers, benefit consultants and other stakeholders (Deliverable 1 under heading 3e. “Outputs”, page 7). Is this </w:t>
      </w:r>
      <w:proofErr w:type="gramStart"/>
      <w:r w:rsidR="00C747C2" w:rsidRPr="00C747C2">
        <w:rPr>
          <w:rFonts w:ascii="Tahoma" w:eastAsia="Times New Roman" w:hAnsi="Tahoma" w:cs="Tahoma"/>
          <w:b/>
          <w:bCs/>
        </w:rPr>
        <w:t>understanding</w:t>
      </w:r>
      <w:proofErr w:type="gramEnd"/>
      <w:r w:rsidR="00C747C2" w:rsidRPr="00C747C2">
        <w:rPr>
          <w:rFonts w:ascii="Tahoma" w:eastAsia="Times New Roman" w:hAnsi="Tahoma" w:cs="Tahoma"/>
          <w:b/>
          <w:bCs/>
        </w:rPr>
        <w:t xml:space="preserve"> correct?</w:t>
      </w:r>
    </w:p>
    <w:p w14:paraId="61617E57" w14:textId="77777777" w:rsidR="00CD271E" w:rsidRDefault="00CD271E" w:rsidP="00160145">
      <w:pPr>
        <w:spacing w:after="0" w:line="240" w:lineRule="auto"/>
        <w:ind w:left="720"/>
        <w:rPr>
          <w:rFonts w:ascii="Tahoma" w:eastAsia="Times New Roman" w:hAnsi="Tahoma" w:cs="Tahoma"/>
          <w:b/>
          <w:bCs/>
        </w:rPr>
      </w:pPr>
    </w:p>
    <w:p w14:paraId="4519E19B" w14:textId="3BA91A44" w:rsidR="00160145" w:rsidRPr="002D3444" w:rsidRDefault="00160145" w:rsidP="0016014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CD271E" w:rsidRPr="00CD271E">
        <w:rPr>
          <w:rFonts w:ascii="Tahoma" w:eastAsia="Times New Roman" w:hAnsi="Tahoma" w:cs="Tahoma"/>
        </w:rPr>
        <w:t>Yes. The summary reports for tasks 1 and 2 are primarily for internal use but will inform the public-facing deliverables in the other tasks.</w:t>
      </w:r>
    </w:p>
    <w:p w14:paraId="0CF0C9A9" w14:textId="77777777" w:rsidR="00160145" w:rsidRPr="002D3444" w:rsidRDefault="00160145" w:rsidP="00160145">
      <w:pPr>
        <w:spacing w:after="0" w:line="240" w:lineRule="auto"/>
        <w:rPr>
          <w:rFonts w:ascii="Tahoma" w:eastAsia="Times New Roman" w:hAnsi="Tahoma" w:cs="Tahoma"/>
          <w:b/>
          <w:bCs/>
          <w:color w:val="000000" w:themeColor="text1"/>
        </w:rPr>
      </w:pPr>
    </w:p>
    <w:p w14:paraId="37C75A8B" w14:textId="3A0C95C4" w:rsidR="00160145" w:rsidRPr="002D3444" w:rsidRDefault="00160145" w:rsidP="0016014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A45C0E" w:rsidRPr="00A45C0E">
        <w:rPr>
          <w:rFonts w:ascii="Tahoma" w:eastAsia="Times New Roman" w:hAnsi="Tahoma" w:cs="Tahoma"/>
          <w:b/>
          <w:bCs/>
        </w:rPr>
        <w:t>Does CDC Foundation plan to share any data or information about data structures (e.g., data dictionaries) to support any of the tasks?</w:t>
      </w:r>
    </w:p>
    <w:p w14:paraId="75E94582" w14:textId="77777777" w:rsidR="00160145" w:rsidRPr="002D3444" w:rsidRDefault="00160145" w:rsidP="00160145">
      <w:pPr>
        <w:spacing w:after="0" w:line="240" w:lineRule="auto"/>
        <w:rPr>
          <w:rFonts w:ascii="Tahoma" w:eastAsia="Times New Roman" w:hAnsi="Tahoma" w:cs="Tahoma"/>
          <w:b/>
          <w:bCs/>
        </w:rPr>
      </w:pPr>
    </w:p>
    <w:p w14:paraId="111C8337" w14:textId="3AE3DB4B" w:rsidR="00160145" w:rsidRPr="002D3444" w:rsidRDefault="00160145" w:rsidP="0016014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52168C" w:rsidRPr="0052168C">
        <w:rPr>
          <w:rFonts w:ascii="Tahoma" w:eastAsia="Times New Roman" w:hAnsi="Tahoma" w:cs="Tahoma"/>
        </w:rPr>
        <w:t xml:space="preserve">No, CDC Foundation does not plan to share any datasets. Contractors are welcome to utilize other data resources they may have at their disposal.  </w:t>
      </w:r>
    </w:p>
    <w:p w14:paraId="0DE2998B" w14:textId="77777777" w:rsidR="00160145" w:rsidRPr="002D3444" w:rsidRDefault="00160145" w:rsidP="00160145">
      <w:pPr>
        <w:spacing w:after="0" w:line="240" w:lineRule="auto"/>
        <w:rPr>
          <w:rFonts w:ascii="Tahoma" w:eastAsia="Times New Roman" w:hAnsi="Tahoma" w:cs="Tahoma"/>
          <w:b/>
          <w:bCs/>
          <w:color w:val="000000" w:themeColor="text1"/>
        </w:rPr>
      </w:pPr>
    </w:p>
    <w:p w14:paraId="03E3CC12" w14:textId="6BC47916" w:rsidR="00160145" w:rsidRPr="002D3444" w:rsidRDefault="00160145" w:rsidP="0016014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E27DE5" w:rsidRPr="00E27DE5">
        <w:rPr>
          <w:rFonts w:ascii="Tahoma" w:eastAsia="Times New Roman" w:hAnsi="Tahoma" w:cs="Tahoma"/>
          <w:b/>
          <w:bCs/>
        </w:rPr>
        <w:t>Does CDC Foundation expect the offeror to use any data sources outside of literature reviews to support any of the tasks?</w:t>
      </w:r>
    </w:p>
    <w:p w14:paraId="55186EC2" w14:textId="77777777" w:rsidR="00160145" w:rsidRPr="002D3444" w:rsidRDefault="00160145" w:rsidP="00160145">
      <w:pPr>
        <w:spacing w:after="0" w:line="240" w:lineRule="auto"/>
        <w:rPr>
          <w:rFonts w:ascii="Tahoma" w:eastAsia="Times New Roman" w:hAnsi="Tahoma" w:cs="Tahoma"/>
          <w:b/>
          <w:bCs/>
        </w:rPr>
      </w:pPr>
    </w:p>
    <w:p w14:paraId="255DE65D" w14:textId="686EC901" w:rsidR="00160145" w:rsidRPr="002D3444" w:rsidRDefault="00160145" w:rsidP="0016014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F5158C" w:rsidRPr="00F5158C">
        <w:rPr>
          <w:rFonts w:ascii="Tahoma" w:eastAsia="Times New Roman" w:hAnsi="Tahoma" w:cs="Tahoma"/>
        </w:rPr>
        <w:t>No</w:t>
      </w:r>
      <w:r w:rsidR="00085898">
        <w:rPr>
          <w:rFonts w:ascii="Tahoma" w:eastAsia="Times New Roman" w:hAnsi="Tahoma" w:cs="Tahoma"/>
        </w:rPr>
        <w:t>, however, t</w:t>
      </w:r>
      <w:r w:rsidR="00085898" w:rsidRPr="00085898">
        <w:rPr>
          <w:rFonts w:ascii="Tahoma" w:eastAsia="Times New Roman" w:hAnsi="Tahoma" w:cs="Tahoma"/>
        </w:rPr>
        <w:t>he firm should plan to solicit user feedback and guidance from employers regarding the budget model and communication materials to be developed.</w:t>
      </w:r>
    </w:p>
    <w:p w14:paraId="1E5B481E" w14:textId="77777777" w:rsidR="00160145" w:rsidRPr="002D3444" w:rsidRDefault="00160145" w:rsidP="00160145">
      <w:pPr>
        <w:spacing w:after="0" w:line="240" w:lineRule="auto"/>
        <w:rPr>
          <w:rFonts w:ascii="Tahoma" w:eastAsia="Times New Roman" w:hAnsi="Tahoma" w:cs="Tahoma"/>
          <w:b/>
          <w:bCs/>
          <w:color w:val="000000" w:themeColor="text1"/>
        </w:rPr>
      </w:pPr>
    </w:p>
    <w:p w14:paraId="30585A5E" w14:textId="382326A2" w:rsidR="00160145" w:rsidRPr="002D3444" w:rsidRDefault="00160145" w:rsidP="0016014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DC7668" w:rsidRPr="00DC7668">
        <w:rPr>
          <w:rFonts w:ascii="Tahoma" w:eastAsia="Times New Roman" w:hAnsi="Tahoma" w:cs="Tahoma"/>
          <w:b/>
          <w:bCs/>
        </w:rPr>
        <w:t xml:space="preserve">For Task 5 (page 6), can CDC Foundation provide additional information about the potential number and mix of creative materials that may be needed?   </w:t>
      </w:r>
    </w:p>
    <w:p w14:paraId="488FA0CA" w14:textId="77777777" w:rsidR="00160145" w:rsidRPr="002D3444" w:rsidRDefault="00160145" w:rsidP="00160145">
      <w:pPr>
        <w:spacing w:after="0" w:line="240" w:lineRule="auto"/>
        <w:rPr>
          <w:rFonts w:ascii="Tahoma" w:eastAsia="Times New Roman" w:hAnsi="Tahoma" w:cs="Tahoma"/>
          <w:b/>
          <w:bCs/>
        </w:rPr>
      </w:pPr>
    </w:p>
    <w:p w14:paraId="49183AA7" w14:textId="3439A72F" w:rsidR="00160145" w:rsidRPr="002D3444" w:rsidRDefault="00160145" w:rsidP="0016014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bookmarkStart w:id="0" w:name="_Hlk121757418"/>
      <w:r w:rsidR="00CA2E29" w:rsidRPr="00CA2E29">
        <w:rPr>
          <w:rFonts w:ascii="Tahoma" w:eastAsia="Times New Roman" w:hAnsi="Tahoma" w:cs="Tahoma"/>
        </w:rPr>
        <w:t xml:space="preserve">We expect the firm, in consultation with the CDC Foundation, CDC, and industry experts, to recommend the best materials that should be created to effectively engage the </w:t>
      </w:r>
      <w:r w:rsidR="00CA2E29">
        <w:rPr>
          <w:rFonts w:ascii="Tahoma" w:eastAsia="Times New Roman" w:hAnsi="Tahoma" w:cs="Tahoma"/>
        </w:rPr>
        <w:t>end user</w:t>
      </w:r>
      <w:r w:rsidR="00CA2E29" w:rsidRPr="00CA2E29">
        <w:rPr>
          <w:rFonts w:ascii="Tahoma" w:eastAsia="Times New Roman" w:hAnsi="Tahoma" w:cs="Tahoma"/>
        </w:rPr>
        <w:t>. We are open to deciding the exact products after Tasks 1-3 are complete. Given time and resource constraints, we assume materials will include some mix of action briefs (PDF), infographics, presentations, and/or short videos</w:t>
      </w:r>
      <w:r w:rsidR="00CA2E29">
        <w:rPr>
          <w:rFonts w:ascii="Tahoma" w:eastAsia="Times New Roman" w:hAnsi="Tahoma" w:cs="Tahoma"/>
        </w:rPr>
        <w:t>,</w:t>
      </w:r>
      <w:r w:rsidR="00CA2E29" w:rsidRPr="00CA2E29">
        <w:rPr>
          <w:rFonts w:ascii="Tahoma" w:eastAsia="Times New Roman" w:hAnsi="Tahoma" w:cs="Tahoma"/>
        </w:rPr>
        <w:t xml:space="preserve"> which will </w:t>
      </w:r>
      <w:r w:rsidR="00CA2E29">
        <w:rPr>
          <w:rFonts w:ascii="Tahoma" w:eastAsia="Times New Roman" w:hAnsi="Tahoma" w:cs="Tahoma"/>
        </w:rPr>
        <w:t>be posted</w:t>
      </w:r>
      <w:r w:rsidR="00CA2E29" w:rsidRPr="00CA2E29">
        <w:rPr>
          <w:rFonts w:ascii="Tahoma" w:eastAsia="Times New Roman" w:hAnsi="Tahoma" w:cs="Tahoma"/>
        </w:rPr>
        <w:t xml:space="preserve"> on a website. Please do not include printing, digital advertising, or media distribution costs.</w:t>
      </w:r>
      <w:bookmarkEnd w:id="0"/>
    </w:p>
    <w:p w14:paraId="418EE745" w14:textId="77777777" w:rsidR="00160145" w:rsidRPr="002D3444" w:rsidRDefault="00160145" w:rsidP="00160145">
      <w:pPr>
        <w:spacing w:after="0" w:line="240" w:lineRule="auto"/>
        <w:rPr>
          <w:rFonts w:ascii="Tahoma" w:eastAsia="Times New Roman" w:hAnsi="Tahoma" w:cs="Tahoma"/>
          <w:b/>
          <w:bCs/>
          <w:color w:val="000000" w:themeColor="text1"/>
        </w:rPr>
      </w:pPr>
    </w:p>
    <w:p w14:paraId="733ABB63" w14:textId="71A9E8C3" w:rsidR="00160145" w:rsidRPr="002D3444" w:rsidRDefault="00160145" w:rsidP="0016014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C90481" w:rsidRPr="00C90481">
        <w:rPr>
          <w:rFonts w:ascii="Tahoma" w:eastAsia="Times New Roman" w:hAnsi="Tahoma" w:cs="Tahoma"/>
          <w:b/>
          <w:bCs/>
        </w:rPr>
        <w:t>Is there a page limit to Appendix C</w:t>
      </w:r>
      <w:r w:rsidR="00D073E7">
        <w:rPr>
          <w:rFonts w:ascii="Tahoma" w:eastAsia="Times New Roman" w:hAnsi="Tahoma" w:cs="Tahoma"/>
          <w:b/>
          <w:bCs/>
        </w:rPr>
        <w:t>,</w:t>
      </w:r>
      <w:r w:rsidR="00C90481" w:rsidRPr="00C90481">
        <w:rPr>
          <w:rFonts w:ascii="Tahoma" w:eastAsia="Times New Roman" w:hAnsi="Tahoma" w:cs="Tahoma"/>
          <w:b/>
          <w:bCs/>
        </w:rPr>
        <w:t xml:space="preserve"> “Sample work products”?</w:t>
      </w:r>
    </w:p>
    <w:p w14:paraId="2F33BFC6" w14:textId="77777777" w:rsidR="00160145" w:rsidRPr="002D3444" w:rsidRDefault="00160145" w:rsidP="00160145">
      <w:pPr>
        <w:spacing w:after="0" w:line="240" w:lineRule="auto"/>
        <w:rPr>
          <w:rFonts w:ascii="Tahoma" w:eastAsia="Times New Roman" w:hAnsi="Tahoma" w:cs="Tahoma"/>
          <w:b/>
          <w:bCs/>
        </w:rPr>
      </w:pPr>
    </w:p>
    <w:p w14:paraId="6F50DDAD" w14:textId="283CE48F" w:rsidR="00160145" w:rsidRPr="002D3444" w:rsidRDefault="00160145" w:rsidP="0016014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735B62" w:rsidRPr="00735B62">
        <w:rPr>
          <w:rFonts w:ascii="Tahoma" w:eastAsia="Times New Roman" w:hAnsi="Tahoma" w:cs="Tahoma"/>
        </w:rPr>
        <w:t>There is no page limit for Appendix C.</w:t>
      </w:r>
    </w:p>
    <w:p w14:paraId="0C553262" w14:textId="77777777" w:rsidR="00160145" w:rsidRPr="002D3444" w:rsidRDefault="00160145" w:rsidP="00160145">
      <w:pPr>
        <w:spacing w:after="0" w:line="240" w:lineRule="auto"/>
        <w:rPr>
          <w:rFonts w:ascii="Tahoma" w:eastAsia="Times New Roman" w:hAnsi="Tahoma" w:cs="Tahoma"/>
          <w:b/>
          <w:bCs/>
          <w:color w:val="000000" w:themeColor="text1"/>
        </w:rPr>
      </w:pPr>
    </w:p>
    <w:p w14:paraId="03ECEDDA" w14:textId="0B455E79" w:rsidR="00735B62" w:rsidRPr="002D3444" w:rsidRDefault="00735B62" w:rsidP="00735B62">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276895" w:rsidRPr="00276895">
        <w:rPr>
          <w:rFonts w:ascii="Tahoma" w:eastAsia="Times New Roman" w:hAnsi="Tahoma" w:cs="Tahoma"/>
          <w:b/>
          <w:bCs/>
        </w:rPr>
        <w:t>Should the narrative proposal and appendices be uploaded as 6 individual files or should offerors upload 1 file with the 6-page Narrative proposal and appendices."</w:t>
      </w:r>
    </w:p>
    <w:p w14:paraId="336D884F" w14:textId="77777777" w:rsidR="00735B62" w:rsidRPr="002D3444" w:rsidRDefault="00735B62" w:rsidP="00735B62">
      <w:pPr>
        <w:spacing w:after="0" w:line="240" w:lineRule="auto"/>
        <w:rPr>
          <w:rFonts w:ascii="Tahoma" w:eastAsia="Times New Roman" w:hAnsi="Tahoma" w:cs="Tahoma"/>
          <w:b/>
          <w:bCs/>
        </w:rPr>
      </w:pPr>
    </w:p>
    <w:p w14:paraId="0C130D71" w14:textId="152C097B" w:rsidR="00735B62" w:rsidRPr="002D3444" w:rsidRDefault="00735B62" w:rsidP="00735B62">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806DAD" w:rsidRPr="00806DAD">
        <w:rPr>
          <w:rFonts w:ascii="Tahoma" w:eastAsia="Times New Roman" w:hAnsi="Tahoma" w:cs="Tahoma"/>
        </w:rPr>
        <w:t>Please upload the narrative and appendices separately as 6 PDF files.</w:t>
      </w:r>
    </w:p>
    <w:p w14:paraId="1C690A28" w14:textId="77777777" w:rsidR="00735B62" w:rsidRPr="002D3444" w:rsidRDefault="00735B62" w:rsidP="00735B62">
      <w:pPr>
        <w:spacing w:after="0" w:line="240" w:lineRule="auto"/>
        <w:rPr>
          <w:rFonts w:ascii="Tahoma" w:eastAsia="Times New Roman" w:hAnsi="Tahoma" w:cs="Tahoma"/>
          <w:b/>
          <w:bCs/>
          <w:color w:val="000000" w:themeColor="text1"/>
        </w:rPr>
      </w:pPr>
    </w:p>
    <w:p w14:paraId="05577F1C" w14:textId="11554EC7" w:rsidR="00735B62" w:rsidRPr="002D3444" w:rsidRDefault="00735B62" w:rsidP="00735B62">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BE40F2" w:rsidRPr="00BE40F2">
        <w:rPr>
          <w:rFonts w:ascii="Tahoma" w:eastAsia="Times New Roman" w:hAnsi="Tahoma" w:cs="Tahoma"/>
          <w:b/>
          <w:bCs/>
        </w:rPr>
        <w:t xml:space="preserve">The RFP states: “Due to the amount of funding available and the short duration of the project period, applicants are encouraged to refrain from budgeting indirect costs (costs of doing business that are not readily identified with the objectives of this grant - e.g., utilities, insurance, payroll taxes, capital expenditures for general purpose equipment, etc.) and include direct costs (e.g., salary, fringe benefits, supplies, travel (meal and incidental expenses), contractual, consultant costs, etc.) required to execute the grant instead.” Does this mean that CDCF will only fund </w:t>
      </w:r>
      <w:r w:rsidR="00BE40F2" w:rsidRPr="00BE40F2">
        <w:rPr>
          <w:rFonts w:ascii="Tahoma" w:eastAsia="Times New Roman" w:hAnsi="Tahoma" w:cs="Tahoma"/>
          <w:b/>
          <w:bCs/>
        </w:rPr>
        <w:lastRenderedPageBreak/>
        <w:t>direct costs and will not fund indirect costs?  If so, is the funding cap just for direct costs or should the applicant include indirect costs within the funding cap?</w:t>
      </w:r>
    </w:p>
    <w:p w14:paraId="08B404E8" w14:textId="77777777" w:rsidR="00735B62" w:rsidRPr="002D3444" w:rsidRDefault="00735B62" w:rsidP="00735B62">
      <w:pPr>
        <w:spacing w:after="0" w:line="240" w:lineRule="auto"/>
        <w:rPr>
          <w:rFonts w:ascii="Tahoma" w:eastAsia="Times New Roman" w:hAnsi="Tahoma" w:cs="Tahoma"/>
          <w:b/>
          <w:bCs/>
        </w:rPr>
      </w:pPr>
    </w:p>
    <w:p w14:paraId="3DAB36AD" w14:textId="4B075C32" w:rsidR="00735B62" w:rsidRPr="002D3444" w:rsidRDefault="00735B62" w:rsidP="003D397D">
      <w:pPr>
        <w:spacing w:after="0" w:line="240" w:lineRule="auto"/>
        <w:ind w:left="720"/>
        <w:rPr>
          <w:rFonts w:ascii="Tahoma" w:eastAsia="Times New Roman" w:hAnsi="Tahoma" w:cs="Tahoma"/>
          <w:b/>
          <w:bCs/>
          <w:color w:val="000000" w:themeColor="text1"/>
        </w:rPr>
      </w:pPr>
      <w:r w:rsidRPr="002D3444">
        <w:rPr>
          <w:rFonts w:ascii="Tahoma" w:eastAsia="Times New Roman" w:hAnsi="Tahoma" w:cs="Tahoma"/>
          <w:b/>
          <w:bCs/>
        </w:rPr>
        <w:t xml:space="preserve">A: </w:t>
      </w:r>
      <w:r w:rsidR="003D397D" w:rsidRPr="003D397D">
        <w:rPr>
          <w:rFonts w:ascii="Tahoma" w:eastAsia="Times New Roman" w:hAnsi="Tahoma" w:cs="Tahoma"/>
        </w:rPr>
        <w:t xml:space="preserve">If indirect costs are included, they must be broken out separately in the budget and must use your organization’s negotiated indirect cost rate (if applicable) and provide a copy of your NICRA or use the 10% de </w:t>
      </w:r>
      <w:proofErr w:type="spellStart"/>
      <w:r w:rsidR="003D397D" w:rsidRPr="003D397D">
        <w:rPr>
          <w:rFonts w:ascii="Tahoma" w:eastAsia="Times New Roman" w:hAnsi="Tahoma" w:cs="Tahoma"/>
        </w:rPr>
        <w:t>minimus</w:t>
      </w:r>
      <w:proofErr w:type="spellEnd"/>
      <w:r w:rsidR="003D397D" w:rsidRPr="003D397D">
        <w:rPr>
          <w:rFonts w:ascii="Tahoma" w:eastAsia="Times New Roman" w:hAnsi="Tahoma" w:cs="Tahoma"/>
        </w:rPr>
        <w:t xml:space="preserve"> calculation.</w:t>
      </w:r>
    </w:p>
    <w:p w14:paraId="6C5D6CC7" w14:textId="77777777" w:rsidR="00735B62" w:rsidRPr="002D3444" w:rsidRDefault="00735B62" w:rsidP="00735B62">
      <w:pPr>
        <w:spacing w:after="0" w:line="240" w:lineRule="auto"/>
        <w:rPr>
          <w:rFonts w:ascii="Tahoma" w:eastAsia="Times New Roman" w:hAnsi="Tahoma" w:cs="Tahoma"/>
          <w:b/>
          <w:bCs/>
          <w:color w:val="000000" w:themeColor="text1"/>
        </w:rPr>
      </w:pPr>
    </w:p>
    <w:p w14:paraId="772605FB" w14:textId="1960184A" w:rsidR="00735B62" w:rsidRDefault="00735B62" w:rsidP="00735B62">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5A6A39" w:rsidRPr="005A6A39">
        <w:rPr>
          <w:rFonts w:ascii="Tahoma" w:eastAsia="Times New Roman" w:hAnsi="Tahoma" w:cs="Tahoma"/>
          <w:b/>
          <w:bCs/>
        </w:rPr>
        <w:t>Please provide clarification on the project period. In multiple places on the RFP (and budget narrative template), this is stated as a five-month project, but applicants are instructed to indicate that the budget duration should be adjusted to 6 months for salary and fringe calculations. Is this inconsistency on purpose? Is the grantee being asked for a six-month budget calculation, and the work is to be completed in five months?  This has implications for the budget as well as the timeline.</w:t>
      </w:r>
    </w:p>
    <w:p w14:paraId="385BCA26" w14:textId="77777777" w:rsidR="002500F5" w:rsidRPr="002D3444" w:rsidRDefault="002500F5" w:rsidP="00735B62">
      <w:pPr>
        <w:spacing w:after="0" w:line="240" w:lineRule="auto"/>
        <w:rPr>
          <w:rFonts w:ascii="Tahoma" w:eastAsia="Times New Roman" w:hAnsi="Tahoma" w:cs="Tahoma"/>
          <w:b/>
          <w:bCs/>
        </w:rPr>
      </w:pPr>
    </w:p>
    <w:p w14:paraId="08C070A3" w14:textId="11622D8A" w:rsidR="00735B62" w:rsidRDefault="00735B62" w:rsidP="00735B62">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746EE4" w:rsidRPr="00746EE4">
        <w:rPr>
          <w:rFonts w:ascii="Tahoma" w:eastAsia="Times New Roman" w:hAnsi="Tahoma" w:cs="Tahoma"/>
        </w:rPr>
        <w:t>The project is scheduled to begin on January 30, 2023, and end on June 30, 2023.  This is a five-month project, and your budget should cover this period.</w:t>
      </w:r>
    </w:p>
    <w:p w14:paraId="137FA96D" w14:textId="77777777" w:rsidR="00746EE4" w:rsidRPr="002D3444" w:rsidRDefault="00746EE4" w:rsidP="00735B62">
      <w:pPr>
        <w:spacing w:after="0" w:line="240" w:lineRule="auto"/>
        <w:ind w:left="720"/>
        <w:rPr>
          <w:rFonts w:ascii="Tahoma" w:eastAsia="Times New Roman" w:hAnsi="Tahoma" w:cs="Tahoma"/>
        </w:rPr>
      </w:pPr>
    </w:p>
    <w:p w14:paraId="18AA15C4" w14:textId="09CAE031" w:rsidR="00746EE4" w:rsidRDefault="00746EE4" w:rsidP="00746EE4">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F23E27" w:rsidRPr="00F23E27">
        <w:rPr>
          <w:rFonts w:ascii="Tahoma" w:eastAsia="Times New Roman" w:hAnsi="Tahoma" w:cs="Tahoma"/>
          <w:b/>
          <w:bCs/>
        </w:rPr>
        <w:t>The budget guidelines state that the "costs should be broken down by task." Where would you like to see the budget divided by task?</w:t>
      </w:r>
    </w:p>
    <w:p w14:paraId="19B54B95" w14:textId="77777777" w:rsidR="001A32D5" w:rsidRPr="002D3444" w:rsidRDefault="001A32D5" w:rsidP="00746EE4">
      <w:pPr>
        <w:spacing w:after="0" w:line="240" w:lineRule="auto"/>
        <w:rPr>
          <w:rFonts w:ascii="Tahoma" w:eastAsia="Times New Roman" w:hAnsi="Tahoma" w:cs="Tahoma"/>
          <w:b/>
          <w:bCs/>
        </w:rPr>
      </w:pPr>
    </w:p>
    <w:p w14:paraId="5011CB21" w14:textId="185D305B" w:rsidR="00746EE4" w:rsidRDefault="00746EE4" w:rsidP="00746EE4">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1A32D5" w:rsidRPr="001A32D5">
        <w:rPr>
          <w:rFonts w:ascii="Tahoma" w:eastAsia="Times New Roman" w:hAnsi="Tahoma" w:cs="Tahoma"/>
        </w:rPr>
        <w:t>You may include the cost per deliverable in the narrative, in the project plan, timeline, or approach. Please refer to the task descriptions in the RFP to see the suggested distribution of time and effort by task.</w:t>
      </w:r>
    </w:p>
    <w:p w14:paraId="55AAA367" w14:textId="77777777" w:rsidR="00746EE4" w:rsidRDefault="00746EE4" w:rsidP="00746EE4">
      <w:pPr>
        <w:spacing w:after="0" w:line="240" w:lineRule="auto"/>
        <w:ind w:left="720"/>
        <w:rPr>
          <w:rFonts w:ascii="Tahoma" w:eastAsia="Times New Roman" w:hAnsi="Tahoma" w:cs="Tahoma"/>
        </w:rPr>
      </w:pPr>
    </w:p>
    <w:p w14:paraId="2A73201B" w14:textId="09ADD7DD" w:rsidR="001A32D5" w:rsidRDefault="001A32D5" w:rsidP="001A32D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547F55" w:rsidRPr="00547F55">
        <w:rPr>
          <w:rFonts w:ascii="Tahoma" w:eastAsia="Times New Roman" w:hAnsi="Tahoma" w:cs="Tahoma"/>
          <w:b/>
          <w:bCs/>
        </w:rPr>
        <w:t xml:space="preserve">"Under #5 in Task 5, the RFP states that “Using this information, develop all creative materials and assets for the target audience.”  Since it is not possible for us to know the extent of the “creative materials” you have in mind (e.g., brochures, print advertising, digital advertising, video, etc.) we cannot develop a budget for this task.  Is it acceptable to say the budget will be determined after consultation with CDCF should we be awarded the contract?  </w:t>
      </w:r>
    </w:p>
    <w:p w14:paraId="1DA37F0E" w14:textId="77777777" w:rsidR="001A32D5" w:rsidRPr="002D3444" w:rsidRDefault="001A32D5" w:rsidP="001A32D5">
      <w:pPr>
        <w:spacing w:after="0" w:line="240" w:lineRule="auto"/>
        <w:rPr>
          <w:rFonts w:ascii="Tahoma" w:eastAsia="Times New Roman" w:hAnsi="Tahoma" w:cs="Tahoma"/>
          <w:b/>
          <w:bCs/>
        </w:rPr>
      </w:pPr>
    </w:p>
    <w:p w14:paraId="244E0E5C" w14:textId="1D15CA94" w:rsidR="001A32D5" w:rsidRDefault="001A32D5" w:rsidP="001A32D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F55DAF" w:rsidRPr="00F55DAF">
        <w:rPr>
          <w:rFonts w:ascii="Tahoma" w:eastAsia="Times New Roman" w:hAnsi="Tahoma" w:cs="Tahoma"/>
        </w:rPr>
        <w:t>We expect the firm, in consultation with the CDC Foundation, CDC, and industry experts, to recommend the best materials that should be created to effectively engage the end user. We are open to deciding the exact products after Tasks 1-3 are complete. Given time and resource constraints, we assume materials will include some mix of action briefs (PDF), infographics, presentations, and/or short videos, which will be posted on a website. Please do not include printing, digital advertising, or media distribution costs.</w:t>
      </w:r>
    </w:p>
    <w:p w14:paraId="6189A3D4" w14:textId="77777777" w:rsidR="001A32D5" w:rsidRDefault="001A32D5" w:rsidP="001A32D5">
      <w:pPr>
        <w:spacing w:after="0" w:line="240" w:lineRule="auto"/>
        <w:ind w:left="720"/>
        <w:rPr>
          <w:rFonts w:ascii="Tahoma" w:eastAsia="Times New Roman" w:hAnsi="Tahoma" w:cs="Tahoma"/>
        </w:rPr>
      </w:pPr>
    </w:p>
    <w:p w14:paraId="487E36A0" w14:textId="151BDC4A" w:rsidR="001A32D5" w:rsidRDefault="001A32D5" w:rsidP="001A32D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t xml:space="preserve">Q: </w:t>
      </w:r>
      <w:r w:rsidR="009E52DF" w:rsidRPr="009E52DF">
        <w:rPr>
          <w:rFonts w:ascii="Tahoma" w:eastAsia="Times New Roman" w:hAnsi="Tahoma" w:cs="Tahoma"/>
          <w:b/>
          <w:bCs/>
        </w:rPr>
        <w:t>Under Appendix A: Budget, the RFP requires a detailed budget using the Budget Preparation Guidelines. Several components such as Fringe Benefits, Equipment, and Travel are not applicable for us. Should we skip it by not submitting these components? Or should we submit and state “N/A”.</w:t>
      </w:r>
    </w:p>
    <w:p w14:paraId="6E995585" w14:textId="77777777" w:rsidR="009E52DF" w:rsidRPr="002D3444" w:rsidRDefault="009E52DF" w:rsidP="001A32D5">
      <w:pPr>
        <w:spacing w:after="0" w:line="240" w:lineRule="auto"/>
        <w:rPr>
          <w:rFonts w:ascii="Tahoma" w:eastAsia="Times New Roman" w:hAnsi="Tahoma" w:cs="Tahoma"/>
          <w:b/>
          <w:bCs/>
        </w:rPr>
      </w:pPr>
    </w:p>
    <w:p w14:paraId="53986E5B" w14:textId="358ED4D6" w:rsidR="001A32D5" w:rsidRDefault="001A32D5" w:rsidP="001A32D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802A14" w:rsidRPr="00802A14">
        <w:rPr>
          <w:rFonts w:ascii="Tahoma" w:eastAsia="Times New Roman" w:hAnsi="Tahoma" w:cs="Tahoma"/>
        </w:rPr>
        <w:t>Please indicate $0.00 or N/A for the sections of the budget that do not apply to your proposal.</w:t>
      </w:r>
    </w:p>
    <w:p w14:paraId="571D5D2B" w14:textId="79C793EE" w:rsidR="001A32D5" w:rsidRDefault="001A32D5" w:rsidP="001A32D5">
      <w:pPr>
        <w:spacing w:after="0" w:line="240" w:lineRule="auto"/>
        <w:rPr>
          <w:rFonts w:ascii="Tahoma" w:eastAsia="Times New Roman" w:hAnsi="Tahoma" w:cs="Tahoma"/>
          <w:b/>
          <w:bCs/>
        </w:rPr>
      </w:pPr>
      <w:r w:rsidRPr="002D3444">
        <w:rPr>
          <w:rFonts w:ascii="Tahoma" w:eastAsia="Times New Roman" w:hAnsi="Tahoma" w:cs="Tahoma"/>
          <w:b/>
          <w:bCs/>
          <w:color w:val="000000" w:themeColor="text1"/>
        </w:rPr>
        <w:lastRenderedPageBreak/>
        <w:t xml:space="preserve">Q: </w:t>
      </w:r>
      <w:r w:rsidR="00F33C2D" w:rsidRPr="00F33C2D">
        <w:rPr>
          <w:rFonts w:ascii="Tahoma" w:eastAsia="Times New Roman" w:hAnsi="Tahoma" w:cs="Tahoma"/>
          <w:b/>
          <w:bCs/>
        </w:rPr>
        <w:t xml:space="preserve">Under Appendix E: Financial Statement, the RFP requires a Single Audit Report or Audited Financial Statement. We are a small minority-owned </w:t>
      </w:r>
      <w:r w:rsidR="00304F68" w:rsidRPr="00F33C2D">
        <w:rPr>
          <w:rFonts w:ascii="Tahoma" w:eastAsia="Times New Roman" w:hAnsi="Tahoma" w:cs="Tahoma"/>
          <w:b/>
          <w:bCs/>
        </w:rPr>
        <w:t>company,</w:t>
      </w:r>
      <w:r w:rsidR="00F33C2D" w:rsidRPr="00F33C2D">
        <w:rPr>
          <w:rFonts w:ascii="Tahoma" w:eastAsia="Times New Roman" w:hAnsi="Tahoma" w:cs="Tahoma"/>
          <w:b/>
          <w:bCs/>
        </w:rPr>
        <w:t xml:space="preserve"> and we don’t have an audited financial statement. Will we be disqualified immediately?"</w:t>
      </w:r>
    </w:p>
    <w:p w14:paraId="1C8C314F" w14:textId="77777777" w:rsidR="001A32D5" w:rsidRPr="002D3444" w:rsidRDefault="001A32D5" w:rsidP="001A32D5">
      <w:pPr>
        <w:spacing w:after="0" w:line="240" w:lineRule="auto"/>
        <w:rPr>
          <w:rFonts w:ascii="Tahoma" w:eastAsia="Times New Roman" w:hAnsi="Tahoma" w:cs="Tahoma"/>
          <w:b/>
          <w:bCs/>
        </w:rPr>
      </w:pPr>
    </w:p>
    <w:p w14:paraId="494C72C0" w14:textId="17FAFFEE" w:rsidR="001A32D5" w:rsidRDefault="001A32D5" w:rsidP="001A32D5">
      <w:pPr>
        <w:spacing w:after="0" w:line="240" w:lineRule="auto"/>
        <w:ind w:left="720"/>
        <w:rPr>
          <w:rFonts w:ascii="Tahoma" w:eastAsia="Times New Roman" w:hAnsi="Tahoma" w:cs="Tahoma"/>
        </w:rPr>
      </w:pPr>
      <w:r w:rsidRPr="002D3444">
        <w:rPr>
          <w:rFonts w:ascii="Tahoma" w:eastAsia="Times New Roman" w:hAnsi="Tahoma" w:cs="Tahoma"/>
          <w:b/>
          <w:bCs/>
        </w:rPr>
        <w:t xml:space="preserve">A: </w:t>
      </w:r>
      <w:r w:rsidR="00B56D3D" w:rsidRPr="00B56D3D">
        <w:rPr>
          <w:rFonts w:ascii="Tahoma" w:eastAsia="Times New Roman" w:hAnsi="Tahoma" w:cs="Tahoma"/>
        </w:rPr>
        <w:t>Lack of audit reports or audited financial statements does not disqualify. If you don’t have audited financial statements, please send your most recent balance sheet or any other documentation available to assess your financial standing. Factors include total assets, total liabilities, current assets, current liabilities, change in net assets, total debt, total equity, and total revenue.</w:t>
      </w:r>
    </w:p>
    <w:p w14:paraId="14DAFB6E" w14:textId="77777777" w:rsidR="001A32D5" w:rsidRDefault="001A32D5" w:rsidP="001A32D5">
      <w:pPr>
        <w:spacing w:after="0" w:line="240" w:lineRule="auto"/>
        <w:ind w:left="720"/>
        <w:rPr>
          <w:rFonts w:ascii="Tahoma" w:eastAsia="Times New Roman" w:hAnsi="Tahoma" w:cs="Tahoma"/>
        </w:rPr>
      </w:pPr>
    </w:p>
    <w:p w14:paraId="59ADD9D5" w14:textId="77777777" w:rsidR="00735B62" w:rsidRPr="002D3444" w:rsidRDefault="00735B62" w:rsidP="00735B62">
      <w:pPr>
        <w:spacing w:after="0" w:line="240" w:lineRule="auto"/>
        <w:rPr>
          <w:rFonts w:ascii="Tahoma" w:eastAsia="Times New Roman" w:hAnsi="Tahoma" w:cs="Tahoma"/>
          <w:b/>
          <w:bCs/>
          <w:color w:val="000000" w:themeColor="text1"/>
        </w:rPr>
      </w:pPr>
    </w:p>
    <w:p w14:paraId="7D8A9831" w14:textId="77777777" w:rsidR="00735B62" w:rsidRPr="002D3444" w:rsidRDefault="00735B62" w:rsidP="00735B62">
      <w:pPr>
        <w:spacing w:after="0" w:line="240" w:lineRule="auto"/>
        <w:rPr>
          <w:rFonts w:ascii="Tahoma" w:eastAsia="Times New Roman" w:hAnsi="Tahoma" w:cs="Tahoma"/>
          <w:b/>
          <w:bCs/>
          <w:color w:val="000000" w:themeColor="text1"/>
        </w:rPr>
      </w:pPr>
    </w:p>
    <w:p w14:paraId="38645248" w14:textId="77777777" w:rsidR="00160145" w:rsidRPr="002D3444" w:rsidRDefault="00160145" w:rsidP="00D028EA">
      <w:pPr>
        <w:spacing w:after="0" w:line="240" w:lineRule="auto"/>
        <w:rPr>
          <w:rFonts w:ascii="Tahoma" w:eastAsia="Times New Roman" w:hAnsi="Tahoma" w:cs="Tahoma"/>
          <w:b/>
          <w:bCs/>
          <w:color w:val="000000" w:themeColor="text1"/>
        </w:rPr>
      </w:pPr>
    </w:p>
    <w:sectPr w:rsidR="00160145" w:rsidRPr="002D344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8AD4" w14:textId="77777777" w:rsidR="00EC6FF3" w:rsidRDefault="00EC6FF3" w:rsidP="00233173">
      <w:pPr>
        <w:spacing w:after="0" w:line="240" w:lineRule="auto"/>
      </w:pPr>
      <w:r>
        <w:separator/>
      </w:r>
    </w:p>
  </w:endnote>
  <w:endnote w:type="continuationSeparator" w:id="0">
    <w:p w14:paraId="5372E4AB" w14:textId="77777777" w:rsidR="00EC6FF3" w:rsidRDefault="00EC6FF3" w:rsidP="00233173">
      <w:pPr>
        <w:spacing w:after="0" w:line="240" w:lineRule="auto"/>
      </w:pPr>
      <w:r>
        <w:continuationSeparator/>
      </w:r>
    </w:p>
  </w:endnote>
  <w:endnote w:type="continuationNotice" w:id="1">
    <w:p w14:paraId="23A49148" w14:textId="77777777" w:rsidR="00EC6FF3" w:rsidRDefault="00EC6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746" w14:textId="729A0B73" w:rsidR="00233173" w:rsidRDefault="00EC2D98" w:rsidP="00233173">
    <w:pPr>
      <w:pStyle w:val="Footer"/>
      <w:jc w:val="right"/>
    </w:pPr>
    <w:r>
      <w:t>Revised 1</w:t>
    </w:r>
    <w:r w:rsidR="0064211C">
      <w:t>2/13/2022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78C9" w14:textId="77777777" w:rsidR="00EC6FF3" w:rsidRDefault="00EC6FF3" w:rsidP="00233173">
      <w:pPr>
        <w:spacing w:after="0" w:line="240" w:lineRule="auto"/>
      </w:pPr>
      <w:r>
        <w:separator/>
      </w:r>
    </w:p>
  </w:footnote>
  <w:footnote w:type="continuationSeparator" w:id="0">
    <w:p w14:paraId="419A5EEA" w14:textId="77777777" w:rsidR="00EC6FF3" w:rsidRDefault="00EC6FF3" w:rsidP="00233173">
      <w:pPr>
        <w:spacing w:after="0" w:line="240" w:lineRule="auto"/>
      </w:pPr>
      <w:r>
        <w:continuationSeparator/>
      </w:r>
    </w:p>
  </w:footnote>
  <w:footnote w:type="continuationNotice" w:id="1">
    <w:p w14:paraId="316D0337" w14:textId="77777777" w:rsidR="00EC6FF3" w:rsidRDefault="00EC6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BA8"/>
    <w:multiLevelType w:val="hybridMultilevel"/>
    <w:tmpl w:val="66F41EFA"/>
    <w:lvl w:ilvl="0" w:tplc="A008E206">
      <w:start w:val="1"/>
      <w:numFmt w:val="decimal"/>
      <w:pStyle w:val="ProposalHeader"/>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5A459C"/>
    <w:multiLevelType w:val="hybridMultilevel"/>
    <w:tmpl w:val="AD3E95AA"/>
    <w:lvl w:ilvl="0" w:tplc="42BC84D6">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36609097">
    <w:abstractNumId w:val="0"/>
  </w:num>
  <w:num w:numId="2" w16cid:durableId="58669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tjQwMzQyMDC0NDBS0lEKTi0uzszPAykwrgUAG5QDqCwAAAA="/>
  </w:docVars>
  <w:rsids>
    <w:rsidRoot w:val="00953E38"/>
    <w:rsid w:val="00020AC5"/>
    <w:rsid w:val="00021A4D"/>
    <w:rsid w:val="0004021C"/>
    <w:rsid w:val="00047F53"/>
    <w:rsid w:val="00081AD4"/>
    <w:rsid w:val="00085898"/>
    <w:rsid w:val="000C0069"/>
    <w:rsid w:val="00135844"/>
    <w:rsid w:val="001436E4"/>
    <w:rsid w:val="0014435E"/>
    <w:rsid w:val="001518DB"/>
    <w:rsid w:val="001537B2"/>
    <w:rsid w:val="00160145"/>
    <w:rsid w:val="00170A03"/>
    <w:rsid w:val="00192D8A"/>
    <w:rsid w:val="001A32D5"/>
    <w:rsid w:val="001C2799"/>
    <w:rsid w:val="001C2F5C"/>
    <w:rsid w:val="001D794E"/>
    <w:rsid w:val="001F3A1E"/>
    <w:rsid w:val="002223A9"/>
    <w:rsid w:val="00233173"/>
    <w:rsid w:val="00237BA5"/>
    <w:rsid w:val="00241CE9"/>
    <w:rsid w:val="002500F5"/>
    <w:rsid w:val="0025177B"/>
    <w:rsid w:val="00276895"/>
    <w:rsid w:val="00281238"/>
    <w:rsid w:val="00290CD3"/>
    <w:rsid w:val="002B0D6A"/>
    <w:rsid w:val="002B79D5"/>
    <w:rsid w:val="002D3444"/>
    <w:rsid w:val="002D6CAF"/>
    <w:rsid w:val="00303114"/>
    <w:rsid w:val="00303445"/>
    <w:rsid w:val="00304F68"/>
    <w:rsid w:val="00305443"/>
    <w:rsid w:val="00341BE6"/>
    <w:rsid w:val="00346034"/>
    <w:rsid w:val="003B0F44"/>
    <w:rsid w:val="003B2204"/>
    <w:rsid w:val="003D397D"/>
    <w:rsid w:val="003E3DE2"/>
    <w:rsid w:val="00413A4B"/>
    <w:rsid w:val="00420E02"/>
    <w:rsid w:val="0044415B"/>
    <w:rsid w:val="00453CA1"/>
    <w:rsid w:val="004A5F83"/>
    <w:rsid w:val="004D6311"/>
    <w:rsid w:val="004D6528"/>
    <w:rsid w:val="004F1F9B"/>
    <w:rsid w:val="00505F91"/>
    <w:rsid w:val="0052168C"/>
    <w:rsid w:val="00547F55"/>
    <w:rsid w:val="00550056"/>
    <w:rsid w:val="005A6A39"/>
    <w:rsid w:val="005D3E44"/>
    <w:rsid w:val="005F6BB0"/>
    <w:rsid w:val="00605D17"/>
    <w:rsid w:val="00623F2C"/>
    <w:rsid w:val="0064211C"/>
    <w:rsid w:val="00642214"/>
    <w:rsid w:val="00653FAA"/>
    <w:rsid w:val="00665EC6"/>
    <w:rsid w:val="006C0752"/>
    <w:rsid w:val="006F01D8"/>
    <w:rsid w:val="00714F6D"/>
    <w:rsid w:val="0072239D"/>
    <w:rsid w:val="00735B62"/>
    <w:rsid w:val="00746EE4"/>
    <w:rsid w:val="00756FCA"/>
    <w:rsid w:val="007719CA"/>
    <w:rsid w:val="007E2006"/>
    <w:rsid w:val="00802A14"/>
    <w:rsid w:val="00806DAD"/>
    <w:rsid w:val="00830C01"/>
    <w:rsid w:val="008C35F8"/>
    <w:rsid w:val="008D04E0"/>
    <w:rsid w:val="009202C6"/>
    <w:rsid w:val="00953E38"/>
    <w:rsid w:val="009872D2"/>
    <w:rsid w:val="009D240F"/>
    <w:rsid w:val="009D395D"/>
    <w:rsid w:val="009E38A7"/>
    <w:rsid w:val="009E45C2"/>
    <w:rsid w:val="009E52DF"/>
    <w:rsid w:val="009F4664"/>
    <w:rsid w:val="009F7232"/>
    <w:rsid w:val="00A2519E"/>
    <w:rsid w:val="00A26F4C"/>
    <w:rsid w:val="00A42646"/>
    <w:rsid w:val="00A45C0E"/>
    <w:rsid w:val="00AB0680"/>
    <w:rsid w:val="00AB593D"/>
    <w:rsid w:val="00AD70A5"/>
    <w:rsid w:val="00AE0BBF"/>
    <w:rsid w:val="00B01F32"/>
    <w:rsid w:val="00B3354C"/>
    <w:rsid w:val="00B5309F"/>
    <w:rsid w:val="00B55AD1"/>
    <w:rsid w:val="00B56D3D"/>
    <w:rsid w:val="00BE40F2"/>
    <w:rsid w:val="00C01F93"/>
    <w:rsid w:val="00C116CF"/>
    <w:rsid w:val="00C33110"/>
    <w:rsid w:val="00C55D76"/>
    <w:rsid w:val="00C616C5"/>
    <w:rsid w:val="00C747C2"/>
    <w:rsid w:val="00C90481"/>
    <w:rsid w:val="00CA2E29"/>
    <w:rsid w:val="00CB3A86"/>
    <w:rsid w:val="00CC28B8"/>
    <w:rsid w:val="00CD271E"/>
    <w:rsid w:val="00CE24B6"/>
    <w:rsid w:val="00D028EA"/>
    <w:rsid w:val="00D073E7"/>
    <w:rsid w:val="00D413BA"/>
    <w:rsid w:val="00D44C23"/>
    <w:rsid w:val="00D80415"/>
    <w:rsid w:val="00DA57EE"/>
    <w:rsid w:val="00DB3239"/>
    <w:rsid w:val="00DC7668"/>
    <w:rsid w:val="00DF17F7"/>
    <w:rsid w:val="00DF6BF0"/>
    <w:rsid w:val="00E0197A"/>
    <w:rsid w:val="00E12776"/>
    <w:rsid w:val="00E27DE5"/>
    <w:rsid w:val="00E63758"/>
    <w:rsid w:val="00EB30FA"/>
    <w:rsid w:val="00EC2D98"/>
    <w:rsid w:val="00EC6FF3"/>
    <w:rsid w:val="00F23E27"/>
    <w:rsid w:val="00F27B85"/>
    <w:rsid w:val="00F33C2D"/>
    <w:rsid w:val="00F5158C"/>
    <w:rsid w:val="00F53A82"/>
    <w:rsid w:val="00F55DAF"/>
    <w:rsid w:val="00F75982"/>
    <w:rsid w:val="00F96522"/>
    <w:rsid w:val="00FC0B55"/>
    <w:rsid w:val="00FC2377"/>
    <w:rsid w:val="00FC4EF3"/>
    <w:rsid w:val="00FD2E2D"/>
    <w:rsid w:val="00FF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CF1A"/>
  <w15:chartTrackingRefBased/>
  <w15:docId w15:val="{2A8DC679-70DF-401C-B909-0EB32A36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Header">
    <w:name w:val="Proposal Header"/>
    <w:basedOn w:val="ListParagraph"/>
    <w:link w:val="ProposalHeaderChar"/>
    <w:qFormat/>
    <w:rsid w:val="00953E38"/>
    <w:pPr>
      <w:numPr>
        <w:numId w:val="1"/>
      </w:numPr>
      <w:spacing w:after="120" w:line="264" w:lineRule="auto"/>
    </w:pPr>
    <w:rPr>
      <w:rFonts w:eastAsiaTheme="minorEastAsia"/>
      <w:b/>
      <w:bCs/>
      <w:color w:val="44546A" w:themeColor="text2"/>
      <w:sz w:val="28"/>
      <w:szCs w:val="28"/>
    </w:rPr>
  </w:style>
  <w:style w:type="character" w:customStyle="1" w:styleId="ProposalHeaderChar">
    <w:name w:val="Proposal Header Char"/>
    <w:basedOn w:val="DefaultParagraphFont"/>
    <w:link w:val="ProposalHeader"/>
    <w:rsid w:val="00953E38"/>
    <w:rPr>
      <w:rFonts w:eastAsiaTheme="minorEastAsia"/>
      <w:b/>
      <w:bCs/>
      <w:color w:val="44546A" w:themeColor="text2"/>
      <w:sz w:val="28"/>
      <w:szCs w:val="28"/>
    </w:rPr>
  </w:style>
  <w:style w:type="character" w:styleId="Hyperlink">
    <w:name w:val="Hyperlink"/>
    <w:basedOn w:val="DefaultParagraphFont"/>
    <w:uiPriority w:val="99"/>
    <w:unhideWhenUsed/>
    <w:rsid w:val="00953E38"/>
    <w:rPr>
      <w:color w:val="0563C1" w:themeColor="hyperlink"/>
      <w:u w:val="single"/>
    </w:rPr>
  </w:style>
  <w:style w:type="paragraph" w:styleId="ListParagraph">
    <w:name w:val="List Paragraph"/>
    <w:basedOn w:val="Normal"/>
    <w:uiPriority w:val="34"/>
    <w:qFormat/>
    <w:rsid w:val="00953E38"/>
    <w:pPr>
      <w:ind w:left="720"/>
      <w:contextualSpacing/>
    </w:pPr>
  </w:style>
  <w:style w:type="table" w:styleId="TableGrid">
    <w:name w:val="Table Grid"/>
    <w:basedOn w:val="TableNormal"/>
    <w:uiPriority w:val="39"/>
    <w:rsid w:val="00F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1F93"/>
    <w:rPr>
      <w:color w:val="605E5C"/>
      <w:shd w:val="clear" w:color="auto" w:fill="E1DFDD"/>
    </w:rPr>
  </w:style>
  <w:style w:type="paragraph" w:styleId="Header">
    <w:name w:val="header"/>
    <w:basedOn w:val="Normal"/>
    <w:link w:val="HeaderChar"/>
    <w:uiPriority w:val="99"/>
    <w:unhideWhenUsed/>
    <w:rsid w:val="0023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73"/>
  </w:style>
  <w:style w:type="paragraph" w:styleId="Footer">
    <w:name w:val="footer"/>
    <w:basedOn w:val="Normal"/>
    <w:link w:val="FooterChar"/>
    <w:uiPriority w:val="99"/>
    <w:unhideWhenUsed/>
    <w:rsid w:val="0023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73"/>
  </w:style>
  <w:style w:type="character" w:customStyle="1" w:styleId="apple-converted-space">
    <w:name w:val="apple-converted-space"/>
    <w:basedOn w:val="DefaultParagraphFont"/>
    <w:rsid w:val="001518DB"/>
  </w:style>
  <w:style w:type="character" w:styleId="CommentReference">
    <w:name w:val="annotation reference"/>
    <w:basedOn w:val="DefaultParagraphFont"/>
    <w:uiPriority w:val="99"/>
    <w:semiHidden/>
    <w:unhideWhenUsed/>
    <w:rsid w:val="001C2F5C"/>
    <w:rPr>
      <w:sz w:val="16"/>
      <w:szCs w:val="16"/>
    </w:rPr>
  </w:style>
  <w:style w:type="paragraph" w:styleId="CommentText">
    <w:name w:val="annotation text"/>
    <w:basedOn w:val="Normal"/>
    <w:link w:val="CommentTextChar"/>
    <w:uiPriority w:val="99"/>
    <w:unhideWhenUsed/>
    <w:rsid w:val="001C2F5C"/>
    <w:pPr>
      <w:spacing w:line="240" w:lineRule="auto"/>
    </w:pPr>
    <w:rPr>
      <w:sz w:val="20"/>
      <w:szCs w:val="20"/>
    </w:rPr>
  </w:style>
  <w:style w:type="character" w:customStyle="1" w:styleId="CommentTextChar">
    <w:name w:val="Comment Text Char"/>
    <w:basedOn w:val="DefaultParagraphFont"/>
    <w:link w:val="CommentText"/>
    <w:uiPriority w:val="99"/>
    <w:rsid w:val="001C2F5C"/>
    <w:rPr>
      <w:sz w:val="20"/>
      <w:szCs w:val="20"/>
    </w:rPr>
  </w:style>
  <w:style w:type="paragraph" w:styleId="CommentSubject">
    <w:name w:val="annotation subject"/>
    <w:basedOn w:val="CommentText"/>
    <w:next w:val="CommentText"/>
    <w:link w:val="CommentSubjectChar"/>
    <w:uiPriority w:val="99"/>
    <w:semiHidden/>
    <w:unhideWhenUsed/>
    <w:rsid w:val="001C2F5C"/>
    <w:rPr>
      <w:b/>
      <w:bCs/>
    </w:rPr>
  </w:style>
  <w:style w:type="character" w:customStyle="1" w:styleId="CommentSubjectChar">
    <w:name w:val="Comment Subject Char"/>
    <w:basedOn w:val="CommentTextChar"/>
    <w:link w:val="CommentSubject"/>
    <w:uiPriority w:val="99"/>
    <w:semiHidden/>
    <w:rsid w:val="001C2F5C"/>
    <w:rPr>
      <w:b/>
      <w:bCs/>
      <w:sz w:val="20"/>
      <w:szCs w:val="20"/>
    </w:rPr>
  </w:style>
  <w:style w:type="paragraph" w:styleId="Revision">
    <w:name w:val="Revision"/>
    <w:hidden/>
    <w:uiPriority w:val="99"/>
    <w:semiHidden/>
    <w:rsid w:val="0004021C"/>
    <w:pPr>
      <w:spacing w:after="0" w:line="240" w:lineRule="auto"/>
    </w:pPr>
  </w:style>
  <w:style w:type="paragraph" w:styleId="BodyText">
    <w:name w:val="Body Text"/>
    <w:basedOn w:val="Normal"/>
    <w:link w:val="BodyTextChar"/>
    <w:uiPriority w:val="1"/>
    <w:qFormat/>
    <w:rsid w:val="00346034"/>
    <w:pPr>
      <w:widowControl w:val="0"/>
      <w:autoSpaceDE w:val="0"/>
      <w:autoSpaceDN w:val="0"/>
      <w:spacing w:before="70" w:after="0" w:line="244" w:lineRule="auto"/>
      <w:ind w:left="140" w:right="185"/>
    </w:pPr>
    <w:rPr>
      <w:rFonts w:ascii="Tahoma" w:eastAsia="Lucida Sans" w:hAnsi="Tahoma" w:cs="Tahoma"/>
      <w:sz w:val="20"/>
      <w:szCs w:val="20"/>
      <w:lang w:bidi="en-US"/>
    </w:rPr>
  </w:style>
  <w:style w:type="character" w:customStyle="1" w:styleId="BodyTextChar">
    <w:name w:val="Body Text Char"/>
    <w:basedOn w:val="DefaultParagraphFont"/>
    <w:link w:val="BodyText"/>
    <w:uiPriority w:val="1"/>
    <w:rsid w:val="00346034"/>
    <w:rPr>
      <w:rFonts w:ascii="Tahoma" w:eastAsia="Lucida Sans" w:hAnsi="Tahoma" w:cs="Tahom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8521">
      <w:bodyDiv w:val="1"/>
      <w:marLeft w:val="0"/>
      <w:marRight w:val="0"/>
      <w:marTop w:val="0"/>
      <w:marBottom w:val="0"/>
      <w:divBdr>
        <w:top w:val="none" w:sz="0" w:space="0" w:color="auto"/>
        <w:left w:val="none" w:sz="0" w:space="0" w:color="auto"/>
        <w:bottom w:val="none" w:sz="0" w:space="0" w:color="auto"/>
        <w:right w:val="none" w:sz="0" w:space="0" w:color="auto"/>
      </w:divBdr>
    </w:div>
    <w:div w:id="1106462083">
      <w:bodyDiv w:val="1"/>
      <w:marLeft w:val="0"/>
      <w:marRight w:val="0"/>
      <w:marTop w:val="0"/>
      <w:marBottom w:val="0"/>
      <w:divBdr>
        <w:top w:val="none" w:sz="0" w:space="0" w:color="auto"/>
        <w:left w:val="none" w:sz="0" w:space="0" w:color="auto"/>
        <w:bottom w:val="none" w:sz="0" w:space="0" w:color="auto"/>
        <w:right w:val="none" w:sz="0" w:space="0" w:color="auto"/>
      </w:divBdr>
    </w:div>
    <w:div w:id="12096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foundation.org/request-for-proposal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e2f73-faf2-459d-94d4-8efca3cc9cc8" xsi:nil="true"/>
    <lcf76f155ced4ddcb4097134ff3c332f xmlns="20b50f77-0ab6-4fc9-9215-0109594f58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16" ma:contentTypeDescription="Create a new document." ma:contentTypeScope="" ma:versionID="87a8c3426eea73825dd1b3f65435232f">
  <xsd:schema xmlns:xsd="http://www.w3.org/2001/XMLSchema" xmlns:xs="http://www.w3.org/2001/XMLSchema" xmlns:p="http://schemas.microsoft.com/office/2006/metadata/properties" xmlns:ns2="20b50f77-0ab6-4fc9-9215-0109594f584e" xmlns:ns3="f1be2f73-faf2-459d-94d4-8efca3cc9cc8" xmlns:ns4="f540e172-fc0d-47b9-b3ee-e1af943be9df" targetNamespace="http://schemas.microsoft.com/office/2006/metadata/properties" ma:root="true" ma:fieldsID="d8322b65b69b88ae29abed2c13bfc8c7" ns2:_="" ns3:_="" ns4:_="">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C73CB-65A5-4073-9742-2D6AA624B886}">
  <ds:schemaRefs>
    <ds:schemaRef ds:uri="http://schemas.microsoft.com/office/2006/metadata/properties"/>
    <ds:schemaRef ds:uri="http://schemas.microsoft.com/office/infopath/2007/PartnerControls"/>
    <ds:schemaRef ds:uri="f1be2f73-faf2-459d-94d4-8efca3cc9cc8"/>
    <ds:schemaRef ds:uri="20b50f77-0ab6-4fc9-9215-0109594f584e"/>
  </ds:schemaRefs>
</ds:datastoreItem>
</file>

<file path=customXml/itemProps2.xml><?xml version="1.0" encoding="utf-8"?>
<ds:datastoreItem xmlns:ds="http://schemas.openxmlformats.org/officeDocument/2006/customXml" ds:itemID="{DF57023A-0A69-4C66-A4E8-9672EDF6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39C9A-1A9D-445C-AAF8-6429B19D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Links>
    <vt:vector size="30" baseType="variant">
      <vt:variant>
        <vt:i4>7340078</vt:i4>
      </vt:variant>
      <vt:variant>
        <vt:i4>12</vt:i4>
      </vt:variant>
      <vt:variant>
        <vt:i4>0</vt:i4>
      </vt:variant>
      <vt:variant>
        <vt:i4>5</vt:i4>
      </vt:variant>
      <vt:variant>
        <vt:lpwstr>https://www.cdc.gov/hiv/pdf/funding/announcements/ps15-1509/ps15-1509-budget-preparation-guidelines.pdf</vt:lpwstr>
      </vt:variant>
      <vt:variant>
        <vt:lpwstr/>
      </vt:variant>
      <vt:variant>
        <vt:i4>1966112</vt:i4>
      </vt:variant>
      <vt:variant>
        <vt:i4>9</vt:i4>
      </vt:variant>
      <vt:variant>
        <vt:i4>0</vt:i4>
      </vt:variant>
      <vt:variant>
        <vt:i4>5</vt:i4>
      </vt:variant>
      <vt:variant>
        <vt:lpwstr>mailto:heprograms@cdcfoundation.org</vt:lpwstr>
      </vt:variant>
      <vt:variant>
        <vt:lpwstr/>
      </vt:variant>
      <vt:variant>
        <vt:i4>1966112</vt:i4>
      </vt:variant>
      <vt:variant>
        <vt:i4>6</vt:i4>
      </vt:variant>
      <vt:variant>
        <vt:i4>0</vt:i4>
      </vt:variant>
      <vt:variant>
        <vt:i4>5</vt:i4>
      </vt:variant>
      <vt:variant>
        <vt:lpwstr>mailto:heprograms@cdcfoundation.org</vt:lpwstr>
      </vt:variant>
      <vt:variant>
        <vt:lpwstr/>
      </vt:variant>
      <vt:variant>
        <vt:i4>2228280</vt:i4>
      </vt:variant>
      <vt:variant>
        <vt:i4>3</vt:i4>
      </vt:variant>
      <vt:variant>
        <vt:i4>0</vt:i4>
      </vt:variant>
      <vt:variant>
        <vt:i4>5</vt:i4>
      </vt:variant>
      <vt:variant>
        <vt:lpwstr>https://www.cdcfoundation.org/request-for-proposals</vt:lpwstr>
      </vt:variant>
      <vt:variant>
        <vt:lpwstr/>
      </vt:variant>
      <vt:variant>
        <vt:i4>5898286</vt:i4>
      </vt:variant>
      <vt:variant>
        <vt:i4>0</vt:i4>
      </vt:variant>
      <vt:variant>
        <vt:i4>0</vt:i4>
      </vt:variant>
      <vt:variant>
        <vt:i4>5</vt:i4>
      </vt:variant>
      <vt:variant>
        <vt:lpwstr>mailto:heprograms@cdcfoundation.org?subject=Vaccinating%20Individuals%20with%20Disabilities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Sabrina</dc:creator>
  <cp:keywords/>
  <dc:description/>
  <cp:lastModifiedBy>Kolack, Diane</cp:lastModifiedBy>
  <cp:revision>57</cp:revision>
  <cp:lastPrinted>2021-12-06T19:15:00Z</cp:lastPrinted>
  <dcterms:created xsi:type="dcterms:W3CDTF">2022-12-12T21:48:00Z</dcterms:created>
  <dcterms:modified xsi:type="dcterms:W3CDTF">2022-12-13T15:48:00Z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0x0101005563F91CDBD9624C89BEC25AB3708B06</vt:lpwstr>
  </property>
  <property fmtid="{D5CDD505-2E9C-101B-9397-08002B2CF9AE}" pid="3" name="GrammarlyDocumentId">
    <vt:lpwstr>457a71a05390599e5f85a0fec59b8eee4f2c74be0a8774df144aa6260b0c2b8b</vt:lpwstr>
  </property>
  <property fmtid="{D5CDD505-2E9C-101B-9397-08002B2CF9AE}" pid="4" name="MediaServiceImageTags">
    <vt:lpwstr/>
  </property>
</Properties>
</file>